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44"/>
          <w:szCs w:val="44"/>
        </w:rPr>
      </w:pPr>
      <w:r>
        <w:rPr>
          <w:rFonts w:hint="eastAsia" w:ascii="宋体" w:hAnsi="宋体"/>
          <w:sz w:val="44"/>
          <w:szCs w:val="44"/>
        </w:rPr>
        <w:t>义乌市基本医疗保险特殊病种核准携带资料</w:t>
      </w:r>
    </w:p>
    <w:tbl>
      <w:tblPr>
        <w:tblStyle w:val="4"/>
        <w:tblW w:w="15769" w:type="dxa"/>
        <w:tblInd w:w="93" w:type="dxa"/>
        <w:tblLayout w:type="autofit"/>
        <w:tblCellMar>
          <w:top w:w="0" w:type="dxa"/>
          <w:left w:w="108" w:type="dxa"/>
          <w:bottom w:w="0" w:type="dxa"/>
          <w:right w:w="108" w:type="dxa"/>
        </w:tblCellMar>
      </w:tblPr>
      <w:tblGrid>
        <w:gridCol w:w="620"/>
        <w:gridCol w:w="1938"/>
        <w:gridCol w:w="1939"/>
        <w:gridCol w:w="1080"/>
        <w:gridCol w:w="1080"/>
        <w:gridCol w:w="1080"/>
        <w:gridCol w:w="1080"/>
        <w:gridCol w:w="1080"/>
        <w:gridCol w:w="1080"/>
        <w:gridCol w:w="1080"/>
        <w:gridCol w:w="1080"/>
        <w:gridCol w:w="999"/>
        <w:gridCol w:w="81"/>
        <w:gridCol w:w="1080"/>
        <w:gridCol w:w="236"/>
        <w:gridCol w:w="236"/>
      </w:tblGrid>
      <w:tr>
        <w:tblPrEx>
          <w:tblCellMar>
            <w:top w:w="0" w:type="dxa"/>
            <w:left w:w="108" w:type="dxa"/>
            <w:bottom w:w="0" w:type="dxa"/>
            <w:right w:w="108" w:type="dxa"/>
          </w:tblCellMar>
        </w:tblPrEx>
        <w:trPr>
          <w:gridAfter w:val="4"/>
          <w:wAfter w:w="1633" w:type="dxa"/>
          <w:trHeight w:val="810" w:hRule="atLeas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序号</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病种类型</w:t>
            </w:r>
          </w:p>
        </w:tc>
        <w:tc>
          <w:tcPr>
            <w:tcW w:w="9639"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携   带   资   料</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87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恶性肿瘤</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color w:val="FF0000"/>
                <w:kern w:val="0"/>
                <w:sz w:val="22"/>
                <w:szCs w:val="22"/>
                <w:lang w:val="en-US" w:eastAsia="zh-CN"/>
              </w:rPr>
            </w:pPr>
            <w:r>
              <w:rPr>
                <w:rFonts w:hint="eastAsia" w:ascii="宋体" w:hAnsi="宋体" w:cs="宋体"/>
                <w:color w:val="FF0000"/>
                <w:kern w:val="0"/>
                <w:sz w:val="22"/>
                <w:szCs w:val="22"/>
              </w:rPr>
              <w:t>门诊病历或出院记录、穿刺活检病理报告或手术病理报告单、放化疗记录、影像学报告（CT、B超、MRI、X片）、肿瘤标志物检查</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lang w:val="en-US" w:eastAsia="zh-CN"/>
              </w:rPr>
              <w:t>血常规及骨髓报告单</w:t>
            </w:r>
          </w:p>
        </w:tc>
      </w:tr>
      <w:tr>
        <w:tblPrEx>
          <w:tblCellMar>
            <w:top w:w="0" w:type="dxa"/>
            <w:left w:w="108" w:type="dxa"/>
            <w:bottom w:w="0" w:type="dxa"/>
            <w:right w:w="108" w:type="dxa"/>
          </w:tblCellMar>
        </w:tblPrEx>
        <w:trPr>
          <w:gridAfter w:val="4"/>
          <w:wAfter w:w="1633" w:type="dxa"/>
          <w:trHeight w:val="270" w:hRule="atLeast"/>
        </w:trPr>
        <w:tc>
          <w:tcPr>
            <w:tcW w:w="620" w:type="dxa"/>
            <w:vMerge w:val="restart"/>
            <w:tcBorders>
              <w:top w:val="nil"/>
              <w:left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1938" w:type="dxa"/>
            <w:vMerge w:val="restart"/>
            <w:tcBorders>
              <w:top w:val="nil"/>
              <w:left w:val="single" w:color="auto" w:sz="4" w:space="0"/>
              <w:right w:val="single" w:color="auto" w:sz="4" w:space="0"/>
            </w:tcBorders>
            <w:noWrap w:val="0"/>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val="en-US" w:eastAsia="zh-CN"/>
              </w:rPr>
              <w:t>血液系统恶性疾病</w:t>
            </w:r>
          </w:p>
        </w:tc>
        <w:tc>
          <w:tcPr>
            <w:tcW w:w="19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FF0000"/>
                <w:kern w:val="0"/>
                <w:sz w:val="22"/>
                <w:szCs w:val="22"/>
              </w:rPr>
            </w:pPr>
            <w:r>
              <w:rPr>
                <w:rFonts w:hint="eastAsia" w:ascii="宋体" w:hAnsi="宋体" w:cs="宋体"/>
                <w:color w:val="FF0000"/>
                <w:kern w:val="0"/>
                <w:sz w:val="22"/>
                <w:szCs w:val="22"/>
              </w:rPr>
              <w:t>再生障碍性贫血</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门诊病历或出院记录、血常规、骨髓报告单</w:t>
            </w:r>
          </w:p>
        </w:tc>
      </w:tr>
      <w:tr>
        <w:tblPrEx>
          <w:tblCellMar>
            <w:top w:w="0" w:type="dxa"/>
            <w:left w:w="108" w:type="dxa"/>
            <w:bottom w:w="0" w:type="dxa"/>
            <w:right w:w="108" w:type="dxa"/>
          </w:tblCellMar>
        </w:tblPrEx>
        <w:trPr>
          <w:gridAfter w:val="4"/>
          <w:wAfter w:w="1633" w:type="dxa"/>
          <w:trHeight w:val="540" w:hRule="atLeast"/>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2"/>
                <w:szCs w:val="22"/>
              </w:rPr>
            </w:pPr>
          </w:p>
        </w:tc>
        <w:tc>
          <w:tcPr>
            <w:tcW w:w="19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FF0000"/>
                <w:kern w:val="0"/>
                <w:sz w:val="22"/>
                <w:szCs w:val="22"/>
              </w:rPr>
            </w:pPr>
            <w:r>
              <w:rPr>
                <w:rFonts w:hint="eastAsia" w:ascii="宋体" w:hAnsi="宋体" w:cs="宋体"/>
                <w:color w:val="FF0000"/>
                <w:kern w:val="0"/>
                <w:sz w:val="22"/>
                <w:szCs w:val="22"/>
              </w:rPr>
              <w:t>特发性血小板减少性紫癜</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门诊病历或出院记录、血常规、骨髓报告单</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慢性肾功能不全（肾衰竭期以上）</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门诊病历或出院记录、近6个月肾功能、血透或腹透治疗记录</w:t>
            </w:r>
          </w:p>
        </w:tc>
      </w:tr>
      <w:tr>
        <w:tblPrEx>
          <w:tblCellMar>
            <w:top w:w="0" w:type="dxa"/>
            <w:left w:w="108" w:type="dxa"/>
            <w:bottom w:w="0" w:type="dxa"/>
            <w:right w:w="108" w:type="dxa"/>
          </w:tblCellMar>
        </w:tblPrEx>
        <w:trPr>
          <w:gridAfter w:val="4"/>
          <w:wAfter w:w="1633" w:type="dxa"/>
          <w:trHeight w:val="621" w:hRule="atLeast"/>
        </w:trPr>
        <w:tc>
          <w:tcPr>
            <w:tcW w:w="620" w:type="dxa"/>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877" w:type="dxa"/>
            <w:gridSpan w:val="2"/>
            <w:tcBorders>
              <w:top w:val="single" w:color="auto" w:sz="4" w:space="0"/>
              <w:left w:val="nil"/>
              <w:right w:val="single" w:color="000000" w:sz="4" w:space="0"/>
            </w:tcBorders>
            <w:noWrap w:val="0"/>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器官移植抗排异治疗</w:t>
            </w:r>
          </w:p>
        </w:tc>
        <w:tc>
          <w:tcPr>
            <w:tcW w:w="9639" w:type="dxa"/>
            <w:gridSpan w:val="9"/>
            <w:tcBorders>
              <w:top w:val="single" w:color="auto" w:sz="4" w:space="0"/>
              <w:left w:val="nil"/>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血友病</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门诊病历或出院记录、血常规、凝血功能、凝血因子检查</w:t>
            </w:r>
          </w:p>
        </w:tc>
      </w:tr>
      <w:tr>
        <w:tblPrEx>
          <w:tblCellMar>
            <w:top w:w="0" w:type="dxa"/>
            <w:left w:w="108" w:type="dxa"/>
            <w:bottom w:w="0" w:type="dxa"/>
            <w:right w:w="108" w:type="dxa"/>
          </w:tblCellMar>
        </w:tblPrEx>
        <w:trPr>
          <w:gridAfter w:val="4"/>
          <w:wAfter w:w="1633" w:type="dxa"/>
          <w:trHeight w:val="270" w:hRule="atLeast"/>
        </w:trPr>
        <w:tc>
          <w:tcPr>
            <w:tcW w:w="6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93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系统性红斑狼疮伴并发症</w:t>
            </w:r>
          </w:p>
        </w:tc>
        <w:tc>
          <w:tcPr>
            <w:tcW w:w="19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心</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门诊病历或出院记录、免疫学检查（抗核抗体、抗ds-DNA抗体、抗SM抗体、抗磷脂抗体）、近6个月心电图或超声心动图</w:t>
            </w:r>
          </w:p>
        </w:tc>
      </w:tr>
      <w:tr>
        <w:tblPrEx>
          <w:tblCellMar>
            <w:top w:w="0" w:type="dxa"/>
            <w:left w:w="108" w:type="dxa"/>
            <w:bottom w:w="0" w:type="dxa"/>
            <w:right w:w="108" w:type="dxa"/>
          </w:tblCellMar>
        </w:tblPrEx>
        <w:trPr>
          <w:gridAfter w:val="4"/>
          <w:wAfter w:w="1633" w:type="dxa"/>
          <w:trHeight w:val="270" w:hRule="atLeast"/>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肾</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门诊病历或出院记录、免疫学检查（抗核抗体、抗ds-DNA抗体、抗SM抗体、抗磷脂抗体）、尿微量蛋白或24小时尿蛋白或肾功能</w:t>
            </w:r>
          </w:p>
        </w:tc>
      </w:tr>
      <w:tr>
        <w:tblPrEx>
          <w:tblCellMar>
            <w:top w:w="0" w:type="dxa"/>
            <w:left w:w="108" w:type="dxa"/>
            <w:bottom w:w="0" w:type="dxa"/>
            <w:right w:w="108" w:type="dxa"/>
          </w:tblCellMar>
        </w:tblPrEx>
        <w:trPr>
          <w:gridAfter w:val="4"/>
          <w:wAfter w:w="1633" w:type="dxa"/>
          <w:trHeight w:val="270" w:hRule="atLeast"/>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消化系统</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门诊病历或出院记录、免疫学检查（抗核抗体、抗ds-DNA抗体、抗SM抗体、抗磷脂抗体）、腹部CT、肝功能</w:t>
            </w:r>
          </w:p>
        </w:tc>
      </w:tr>
      <w:tr>
        <w:tblPrEx>
          <w:tblCellMar>
            <w:top w:w="0" w:type="dxa"/>
            <w:left w:w="108" w:type="dxa"/>
            <w:bottom w:w="0" w:type="dxa"/>
            <w:right w:w="108" w:type="dxa"/>
          </w:tblCellMar>
        </w:tblPrEx>
        <w:trPr>
          <w:gridAfter w:val="4"/>
          <w:wAfter w:w="1633" w:type="dxa"/>
          <w:trHeight w:val="270" w:hRule="atLeast"/>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神经系统</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门诊病历或出院记录、免疫学检查（抗核抗体、抗ds-DNA抗体、抗SM抗体、抗磷脂抗体）、近6个月脑电图或脑CT或脑MRI</w:t>
            </w:r>
          </w:p>
        </w:tc>
      </w:tr>
      <w:tr>
        <w:tblPrEx>
          <w:tblCellMar>
            <w:top w:w="0" w:type="dxa"/>
            <w:left w:w="108" w:type="dxa"/>
            <w:bottom w:w="0" w:type="dxa"/>
            <w:right w:w="108" w:type="dxa"/>
          </w:tblCellMar>
        </w:tblPrEx>
        <w:trPr>
          <w:gridAfter w:val="4"/>
          <w:wAfter w:w="1633" w:type="dxa"/>
          <w:trHeight w:val="270" w:hRule="atLeast"/>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呼吸系统</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门诊病历或出院记录、免疫学检查（抗核抗体、抗ds-DNA抗体、抗SM抗体、抗磷脂抗体）、近6个月肺CT或肺功能</w:t>
            </w:r>
          </w:p>
        </w:tc>
      </w:tr>
      <w:tr>
        <w:tblPrEx>
          <w:tblCellMar>
            <w:top w:w="0" w:type="dxa"/>
            <w:left w:w="108" w:type="dxa"/>
            <w:bottom w:w="0" w:type="dxa"/>
            <w:right w:w="108" w:type="dxa"/>
          </w:tblCellMar>
        </w:tblPrEx>
        <w:trPr>
          <w:gridAfter w:val="4"/>
          <w:wAfter w:w="1633" w:type="dxa"/>
          <w:trHeight w:val="270" w:hRule="atLeast"/>
        </w:trPr>
        <w:tc>
          <w:tcPr>
            <w:tcW w:w="6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9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血液系统</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门诊病历或出院记录、免疫学检查（抗核抗体、抗ds-DNA抗体、抗SM抗体、抗磷脂抗体）、血常规</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完全性生长激素缺乏症</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门诊病历或出院记录(专科医生诊治)、生长激素激发试验、年龄≤14周岁</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脑性瘫痪</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门诊病历或出院记录(专科医生诊治)、脑CT或MRI、年龄＞3月</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克罗恩病</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门诊病历或出院记录(二级以上医院专科医生诊治)、结肠镜报告单</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精神病</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门诊病历或出院记录(精神病专科医生诊治)</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阿尔茨海默病</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门诊病历或出院记录(专科医生诊治)、简明精神病状态检查表、脑CT或MRI</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耐多药肺结核病</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门诊病历或出院记录、结核菌培养及药物敏感性试验、胸部影像学检查</w:t>
            </w:r>
          </w:p>
        </w:tc>
      </w:tr>
      <w:tr>
        <w:tblPrEx>
          <w:tblCellMar>
            <w:top w:w="0" w:type="dxa"/>
            <w:left w:w="108" w:type="dxa"/>
            <w:bottom w:w="0" w:type="dxa"/>
            <w:right w:w="108" w:type="dxa"/>
          </w:tblCellMar>
        </w:tblPrEx>
        <w:trPr>
          <w:gridAfter w:val="4"/>
          <w:wAfter w:w="1633" w:type="dxa"/>
          <w:trHeight w:val="27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脑血管意外后遗症</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门诊病历或出院记录、脑部影像学检查</w:t>
            </w:r>
          </w:p>
        </w:tc>
      </w:tr>
      <w:tr>
        <w:tblPrEx>
          <w:tblCellMar>
            <w:top w:w="0" w:type="dxa"/>
            <w:left w:w="108" w:type="dxa"/>
            <w:bottom w:w="0" w:type="dxa"/>
            <w:right w:w="108" w:type="dxa"/>
          </w:tblCellMar>
        </w:tblPrEx>
        <w:trPr>
          <w:gridAfter w:val="4"/>
          <w:wAfter w:w="1633" w:type="dxa"/>
          <w:trHeight w:val="60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省规定的罕见病</w:t>
            </w:r>
            <w:r>
              <w:rPr>
                <w:rFonts w:hint="eastAsia" w:ascii="宋体" w:hAnsi="宋体" w:cs="宋体"/>
                <w:color w:val="000000"/>
                <w:kern w:val="0"/>
                <w:sz w:val="22"/>
                <w:szCs w:val="22"/>
              </w:rPr>
              <w:t>（戈谢病、渐冻症、苯丙酮尿症）</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民政部门备案表</w:t>
            </w:r>
          </w:p>
        </w:tc>
      </w:tr>
      <w:tr>
        <w:tblPrEx>
          <w:tblCellMar>
            <w:top w:w="0" w:type="dxa"/>
            <w:left w:w="108" w:type="dxa"/>
            <w:bottom w:w="0" w:type="dxa"/>
            <w:right w:w="108" w:type="dxa"/>
          </w:tblCellMar>
        </w:tblPrEx>
        <w:trPr>
          <w:gridAfter w:val="4"/>
          <w:wAfter w:w="1633" w:type="dxa"/>
          <w:trHeight w:val="60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FF0000"/>
                <w:kern w:val="0"/>
                <w:sz w:val="22"/>
                <w:szCs w:val="22"/>
                <w:lang w:val="en-US" w:eastAsia="zh-CN"/>
              </w:rPr>
            </w:pPr>
            <w:r>
              <w:rPr>
                <w:rFonts w:hint="eastAsia" w:ascii="宋体" w:hAnsi="宋体" w:cs="宋体"/>
                <w:color w:val="FF0000"/>
                <w:kern w:val="0"/>
                <w:sz w:val="22"/>
                <w:szCs w:val="22"/>
                <w:lang w:val="en-US" w:eastAsia="zh-CN"/>
              </w:rPr>
              <w:t>15</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FF0000"/>
                <w:kern w:val="0"/>
                <w:sz w:val="22"/>
                <w:szCs w:val="22"/>
                <w:lang w:val="en-US" w:eastAsia="zh-CN"/>
              </w:rPr>
            </w:pPr>
            <w:r>
              <w:rPr>
                <w:rFonts w:hint="eastAsia" w:ascii="宋体" w:hAnsi="宋体" w:cs="宋体"/>
                <w:color w:val="FF0000"/>
                <w:kern w:val="0"/>
                <w:sz w:val="22"/>
                <w:szCs w:val="22"/>
                <w:lang w:val="en-US" w:eastAsia="zh-CN"/>
              </w:rPr>
              <w:t>癫痫</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FF0000"/>
                <w:kern w:val="0"/>
                <w:sz w:val="22"/>
                <w:szCs w:val="22"/>
              </w:rPr>
            </w:pPr>
            <w:r>
              <w:rPr>
                <w:rFonts w:hint="eastAsia" w:ascii="宋体" w:hAnsi="宋体" w:cs="宋体"/>
                <w:color w:val="FF0000"/>
                <w:kern w:val="0"/>
                <w:sz w:val="22"/>
                <w:szCs w:val="22"/>
              </w:rPr>
              <w:t>住院记录、出院后持续服药治疗满3个月</w:t>
            </w:r>
          </w:p>
        </w:tc>
      </w:tr>
      <w:tr>
        <w:tblPrEx>
          <w:tblCellMar>
            <w:top w:w="0" w:type="dxa"/>
            <w:left w:w="108" w:type="dxa"/>
            <w:bottom w:w="0" w:type="dxa"/>
            <w:right w:w="108" w:type="dxa"/>
          </w:tblCellMar>
        </w:tblPrEx>
        <w:trPr>
          <w:gridAfter w:val="4"/>
          <w:wAfter w:w="1633" w:type="dxa"/>
          <w:trHeight w:val="600" w:hRule="atLeast"/>
        </w:trPr>
        <w:tc>
          <w:tcPr>
            <w:tcW w:w="6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FF0000"/>
                <w:kern w:val="0"/>
                <w:sz w:val="22"/>
                <w:szCs w:val="22"/>
                <w:lang w:val="en-US" w:eastAsia="zh-CN"/>
              </w:rPr>
            </w:pPr>
            <w:r>
              <w:rPr>
                <w:rFonts w:hint="eastAsia" w:ascii="宋体" w:hAnsi="宋体" w:cs="宋体"/>
                <w:color w:val="FF0000"/>
                <w:kern w:val="0"/>
                <w:sz w:val="22"/>
                <w:szCs w:val="22"/>
                <w:lang w:val="en-US" w:eastAsia="zh-CN"/>
              </w:rPr>
              <w:t>16</w:t>
            </w:r>
          </w:p>
        </w:tc>
        <w:tc>
          <w:tcPr>
            <w:tcW w:w="3877"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FF0000"/>
                <w:kern w:val="0"/>
                <w:sz w:val="22"/>
                <w:szCs w:val="22"/>
              </w:rPr>
            </w:pPr>
            <w:r>
              <w:rPr>
                <w:rFonts w:hint="eastAsia" w:ascii="宋体" w:hAnsi="宋体" w:cs="宋体"/>
                <w:color w:val="FF0000"/>
                <w:kern w:val="0"/>
                <w:sz w:val="22"/>
                <w:szCs w:val="22"/>
                <w:lang w:val="en-US" w:eastAsia="zh-CN"/>
              </w:rPr>
              <w:t>儿童孤独症</w:t>
            </w:r>
          </w:p>
        </w:tc>
        <w:tc>
          <w:tcPr>
            <w:tcW w:w="9639" w:type="dxa"/>
            <w:gridSpan w:val="9"/>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color w:val="FF0000"/>
                <w:kern w:val="0"/>
                <w:sz w:val="22"/>
                <w:szCs w:val="22"/>
                <w:lang w:val="en-US" w:eastAsia="zh-CN"/>
              </w:rPr>
            </w:pPr>
            <w:r>
              <w:rPr>
                <w:rFonts w:hint="eastAsia" w:ascii="宋体" w:hAnsi="宋体" w:cs="宋体"/>
                <w:color w:val="FF0000"/>
                <w:kern w:val="0"/>
                <w:sz w:val="22"/>
                <w:szCs w:val="22"/>
              </w:rPr>
              <w:t>门诊病历或出院记录(</w:t>
            </w:r>
            <w:r>
              <w:rPr>
                <w:rFonts w:hint="eastAsia" w:ascii="宋体" w:hAnsi="宋体" w:cs="宋体"/>
                <w:color w:val="FF0000"/>
                <w:kern w:val="0"/>
                <w:sz w:val="22"/>
                <w:szCs w:val="22"/>
                <w:lang w:val="en-US" w:eastAsia="zh-CN"/>
              </w:rPr>
              <w:t>二级及以上医疗机构精神</w:t>
            </w:r>
            <w:r>
              <w:rPr>
                <w:rFonts w:hint="eastAsia" w:ascii="宋体" w:hAnsi="宋体" w:cs="宋体"/>
                <w:color w:val="FF0000"/>
                <w:kern w:val="0"/>
                <w:sz w:val="22"/>
                <w:szCs w:val="22"/>
              </w:rPr>
              <w:t>专科</w:t>
            </w:r>
            <w:r>
              <w:rPr>
                <w:rFonts w:hint="eastAsia" w:ascii="宋体" w:hAnsi="宋体" w:cs="宋体"/>
                <w:color w:val="FF0000"/>
                <w:kern w:val="0"/>
                <w:sz w:val="22"/>
                <w:szCs w:val="22"/>
                <w:lang w:val="en-US" w:eastAsia="zh-CN"/>
              </w:rPr>
              <w:t>或儿科相关副主任医师</w:t>
            </w:r>
            <w:r>
              <w:rPr>
                <w:rFonts w:hint="eastAsia" w:ascii="宋体" w:hAnsi="宋体" w:cs="宋体"/>
                <w:color w:val="FF0000"/>
                <w:kern w:val="0"/>
                <w:sz w:val="22"/>
                <w:szCs w:val="22"/>
              </w:rPr>
              <w:t>诊治)</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lang w:val="en-US" w:eastAsia="zh-CN"/>
              </w:rPr>
              <w:t>儿童孤独症评定诊断性量表</w:t>
            </w:r>
          </w:p>
        </w:tc>
      </w:tr>
      <w:tr>
        <w:tblPrEx>
          <w:tblCellMar>
            <w:top w:w="0" w:type="dxa"/>
            <w:left w:w="108" w:type="dxa"/>
            <w:bottom w:w="0" w:type="dxa"/>
            <w:right w:w="108" w:type="dxa"/>
          </w:tblCellMar>
        </w:tblPrEx>
        <w:trPr>
          <w:trHeight w:val="270" w:hRule="atLeast"/>
        </w:trPr>
        <w:tc>
          <w:tcPr>
            <w:tcW w:w="620" w:type="dxa"/>
            <w:tcBorders>
              <w:top w:val="nil"/>
              <w:left w:val="nil"/>
              <w:bottom w:val="nil"/>
              <w:right w:val="nil"/>
            </w:tcBorders>
            <w:noWrap w:val="0"/>
            <w:vAlign w:val="center"/>
          </w:tcPr>
          <w:p>
            <w:pPr>
              <w:widowControl/>
              <w:jc w:val="left"/>
              <w:rPr>
                <w:rFonts w:hint="default" w:ascii="宋体" w:hAnsi="宋体" w:eastAsia="宋体" w:cs="宋体"/>
                <w:color w:val="000000"/>
                <w:kern w:val="0"/>
                <w:sz w:val="22"/>
                <w:szCs w:val="22"/>
                <w:lang w:val="en-US" w:eastAsia="zh-CN"/>
              </w:rPr>
            </w:pPr>
          </w:p>
        </w:tc>
        <w:tc>
          <w:tcPr>
            <w:tcW w:w="1938"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939"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gridSpan w:val="2"/>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236"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c>
          <w:tcPr>
            <w:tcW w:w="236" w:type="dxa"/>
            <w:tcBorders>
              <w:top w:val="nil"/>
              <w:left w:val="nil"/>
              <w:bottom w:val="nil"/>
              <w:right w:val="nil"/>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4"/>
          <w:wAfter w:w="1633" w:type="dxa"/>
          <w:trHeight w:val="270" w:hRule="atLeast"/>
        </w:trPr>
        <w:tc>
          <w:tcPr>
            <w:tcW w:w="14136" w:type="dxa"/>
            <w:gridSpan w:val="12"/>
            <w:tcBorders>
              <w:top w:val="nil"/>
              <w:left w:val="nil"/>
              <w:bottom w:val="nil"/>
              <w:right w:val="nil"/>
            </w:tcBorders>
            <w:noWrap w:val="0"/>
            <w:vAlign w:val="center"/>
          </w:tcPr>
          <w:p>
            <w:pPr>
              <w:widowControl/>
              <w:jc w:val="left"/>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gridAfter w:val="4"/>
          <w:wAfter w:w="1633" w:type="dxa"/>
          <w:trHeight w:val="270" w:hRule="atLeast"/>
        </w:trPr>
        <w:tc>
          <w:tcPr>
            <w:tcW w:w="14136" w:type="dxa"/>
            <w:gridSpan w:val="12"/>
            <w:tcBorders>
              <w:top w:val="nil"/>
              <w:left w:val="nil"/>
              <w:bottom w:val="nil"/>
              <w:right w:val="nil"/>
            </w:tcBorders>
            <w:noWrap w:val="0"/>
            <w:vAlign w:val="center"/>
          </w:tcPr>
          <w:p>
            <w:pPr>
              <w:widowControl/>
              <w:jc w:val="left"/>
              <w:rPr>
                <w:rFonts w:ascii="宋体" w:hAnsi="宋体" w:cs="宋体"/>
                <w:color w:val="000000"/>
                <w:kern w:val="0"/>
                <w:sz w:val="22"/>
                <w:szCs w:val="22"/>
              </w:rPr>
            </w:pPr>
          </w:p>
        </w:tc>
      </w:tr>
    </w:tbl>
    <w:p>
      <w:pPr>
        <w:adjustRightInd w:val="0"/>
        <w:snapToGrid w:val="0"/>
        <w:ind w:firstLine="480"/>
        <w:rPr>
          <w:rFonts w:hint="eastAsia" w:ascii="仿宋_GB2312" w:hAnsi="宋体" w:eastAsia="仿宋_GB2312" w:cs="宋体"/>
          <w:kern w:val="0"/>
          <w:sz w:val="24"/>
        </w:rPr>
      </w:pPr>
      <w:r>
        <w:rPr>
          <w:rFonts w:hint="eastAsia" w:ascii="仿宋_GB2312" w:hAnsi="宋体" w:eastAsia="仿宋_GB2312"/>
          <w:sz w:val="30"/>
          <w:szCs w:val="30"/>
        </w:rPr>
        <w:t>注</w:t>
      </w:r>
      <w:r>
        <w:rPr>
          <w:rFonts w:hint="eastAsia" w:ascii="仿宋_GB2312" w:hAnsi="宋体" w:eastAsia="仿宋_GB2312" w:cs="宋体"/>
          <w:kern w:val="0"/>
          <w:sz w:val="24"/>
        </w:rPr>
        <w:t xml:space="preserve">： </w:t>
      </w:r>
      <w:bookmarkStart w:id="0" w:name="_GoBack"/>
      <w:bookmarkEnd w:id="0"/>
      <w:r>
        <w:rPr>
          <w:rFonts w:hint="eastAsia" w:ascii="仿宋_GB2312" w:hAnsi="宋体" w:eastAsia="仿宋_GB2312" w:cs="宋体"/>
          <w:kern w:val="0"/>
          <w:sz w:val="24"/>
        </w:rPr>
        <w:t>1、提供材料非原件的需加盖医院公章。</w:t>
      </w:r>
    </w:p>
    <w:p>
      <w:pPr>
        <w:adjustRightInd w:val="0"/>
        <w:snapToGrid w:val="0"/>
        <w:ind w:firstLine="480"/>
        <w:rPr>
          <w:rFonts w:hint="eastAsia"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2、申请人及代理人需携带身份证</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社会保障·市民卡</w:t>
      </w:r>
      <w:r>
        <w:rPr>
          <w:rFonts w:hint="eastAsia" w:ascii="仿宋_GB2312" w:hAnsi="宋体" w:eastAsia="仿宋_GB2312" w:cs="宋体"/>
          <w:color w:val="FF0000"/>
          <w:kern w:val="0"/>
          <w:sz w:val="24"/>
          <w:lang w:val="en-US" w:eastAsia="zh-CN"/>
        </w:rPr>
        <w:t>或医保电子凭证</w:t>
      </w:r>
      <w:r>
        <w:rPr>
          <w:rFonts w:hint="eastAsia" w:ascii="仿宋_GB2312" w:hAnsi="宋体" w:eastAsia="仿宋_GB2312" w:cs="宋体"/>
          <w:kern w:val="0"/>
          <w:sz w:val="24"/>
        </w:rPr>
        <w:t>。</w:t>
      </w:r>
    </w:p>
    <w:p>
      <w:pPr>
        <w:spacing w:line="400" w:lineRule="exact"/>
        <w:ind w:firstLine="480" w:firstLineChars="200"/>
        <w:rPr>
          <w:rFonts w:hint="eastAsia" w:ascii="宋体" w:hAnsi="宋体" w:eastAsia="宋体" w:cs="宋体"/>
          <w:color w:val="000000"/>
          <w:kern w:val="0"/>
          <w:sz w:val="22"/>
          <w:szCs w:val="22"/>
          <w:lang w:val="en-US" w:eastAsia="zh-CN"/>
        </w:rPr>
      </w:pP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3、</w:t>
      </w:r>
      <w:r>
        <w:rPr>
          <w:rFonts w:hint="eastAsia" w:ascii="仿宋_GB2312" w:hAnsi="宋体" w:eastAsia="仿宋_GB2312" w:cs="宋体"/>
          <w:kern w:val="0"/>
          <w:sz w:val="24"/>
          <w:lang w:val="en-US" w:eastAsia="zh-CN"/>
        </w:rPr>
        <w:t>参保人员在本地医院住院期间如果符合规定病种条件的，实现“无感智办”。义乌市外就医人员，可携带相关资料到义乌市二级及以上医院经相关专家审核后医院医保办办理，市医保中心在线审核通过后，由医院医保办直接制发慢特病种证。</w:t>
      </w:r>
    </w:p>
    <w:p>
      <w:pPr>
        <w:adjustRightInd w:val="0"/>
        <w:snapToGrid w:val="0"/>
        <w:ind w:firstLine="480"/>
        <w:rPr>
          <w:rFonts w:hint="eastAsia"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 xml:space="preserve"> 4、化验项目原则上≥2次</w:t>
      </w:r>
    </w:p>
    <w:p>
      <w:pPr>
        <w:adjustRightInd w:val="0"/>
        <w:snapToGrid w:val="0"/>
        <w:ind w:firstLine="480"/>
        <w:rPr>
          <w:rFonts w:hint="default" w:ascii="仿宋_GB2312" w:hAnsi="宋体" w:eastAsia="仿宋_GB2312" w:cs="宋体"/>
          <w:kern w:val="0"/>
          <w:sz w:val="24"/>
          <w:lang w:val="en-US" w:eastAsia="zh-CN"/>
        </w:rPr>
      </w:pPr>
      <w:r>
        <w:rPr>
          <w:rFonts w:hint="eastAsia" w:ascii="宋体" w:hAnsi="宋体" w:cs="宋体"/>
          <w:color w:val="000000"/>
          <w:kern w:val="0"/>
          <w:sz w:val="22"/>
          <w:szCs w:val="22"/>
          <w:lang w:val="en-US" w:eastAsia="zh-CN"/>
        </w:rPr>
        <w:t xml:space="preserve">      5、</w:t>
      </w:r>
      <w:r>
        <w:rPr>
          <w:rFonts w:hint="eastAsia" w:ascii="仿宋_GB2312" w:hAnsi="宋体" w:eastAsia="仿宋_GB2312" w:cs="宋体"/>
          <w:kern w:val="0"/>
          <w:sz w:val="24"/>
          <w:lang w:val="en-US" w:eastAsia="zh-CN"/>
        </w:rPr>
        <w:t>特殊病种门诊年度最高报销额与住院年度统筹最高报销限额累计计算。</w:t>
      </w:r>
    </w:p>
    <w:sectPr>
      <w:headerReference r:id="rId3" w:type="default"/>
      <w:pgSz w:w="16838" w:h="11906" w:orient="landscape"/>
      <w:pgMar w:top="851" w:right="1400" w:bottom="1021" w:left="945" w:header="851" w:footer="992" w:gutter="0"/>
      <w:cols w:space="720" w:num="1"/>
      <w:docGrid w:type="linesAndChars" w:linePitch="4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3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ZTQzMWI3NzNhMzc1YzdjMTAwOTYwNWZjNTc1ZmEifQ=="/>
  </w:docVars>
  <w:rsids>
    <w:rsidRoot w:val="00875595"/>
    <w:rsid w:val="00005D2A"/>
    <w:rsid w:val="000E34B7"/>
    <w:rsid w:val="00136D79"/>
    <w:rsid w:val="0014258F"/>
    <w:rsid w:val="00282A9A"/>
    <w:rsid w:val="00310734"/>
    <w:rsid w:val="00355BB1"/>
    <w:rsid w:val="003F61D6"/>
    <w:rsid w:val="005857B5"/>
    <w:rsid w:val="005C37E7"/>
    <w:rsid w:val="005E3E74"/>
    <w:rsid w:val="00645C0C"/>
    <w:rsid w:val="00651FB8"/>
    <w:rsid w:val="00697403"/>
    <w:rsid w:val="007B69DE"/>
    <w:rsid w:val="007D4B85"/>
    <w:rsid w:val="00875595"/>
    <w:rsid w:val="00877F2D"/>
    <w:rsid w:val="008C249F"/>
    <w:rsid w:val="009638D2"/>
    <w:rsid w:val="00A2503E"/>
    <w:rsid w:val="00A84176"/>
    <w:rsid w:val="00B20FC9"/>
    <w:rsid w:val="00B83447"/>
    <w:rsid w:val="00BA6B21"/>
    <w:rsid w:val="00BE42AA"/>
    <w:rsid w:val="00D11DEA"/>
    <w:rsid w:val="00D273DC"/>
    <w:rsid w:val="00D66199"/>
    <w:rsid w:val="00D97BDE"/>
    <w:rsid w:val="00DB2093"/>
    <w:rsid w:val="00E00625"/>
    <w:rsid w:val="00EF26F4"/>
    <w:rsid w:val="00F85DB1"/>
    <w:rsid w:val="04E23035"/>
    <w:rsid w:val="109D5DD5"/>
    <w:rsid w:val="294678FE"/>
    <w:rsid w:val="31BB4B49"/>
    <w:rsid w:val="39745DAE"/>
    <w:rsid w:val="3F5A7CE2"/>
    <w:rsid w:val="44F17DFC"/>
    <w:rsid w:val="4C8D21E3"/>
    <w:rsid w:val="578812A7"/>
    <w:rsid w:val="63CC42BA"/>
    <w:rsid w:val="78A716D1"/>
    <w:rsid w:val="79354A68"/>
    <w:rsid w:val="7F752F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1121</Words>
  <Characters>1178</Characters>
  <Lines>9</Lines>
  <Paragraphs>2</Paragraphs>
  <TotalTime>1</TotalTime>
  <ScaleCrop>false</ScaleCrop>
  <LinksUpToDate>false</LinksUpToDate>
  <CharactersWithSpaces>1203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2011-06-22T08:06:00Z</dcterms:created>
  <dc:creator>dell</dc:creator>
  <cp:lastModifiedBy>Lenovo</cp:lastModifiedBy>
  <cp:lastPrinted>2015-04-29T02:35:00Z</cp:lastPrinted>
  <dcterms:modified xsi:type="dcterms:W3CDTF">2023-02-13T07:14:05Z</dcterms:modified>
  <dc:title>城乡居民医疗保险特殊病种审批携带资料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D8722D625A324A4F8F8CD5B4507A2530</vt:lpwstr>
  </property>
</Properties>
</file>