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检验科B型脑钠肽、肌钙蛋白检测项目</w:t>
      </w:r>
      <w:r>
        <w:rPr>
          <w:rFonts w:hint="eastAsia" w:eastAsia="宋体" w:cs="Times New Roman"/>
          <w:b/>
          <w:bCs/>
          <w:sz w:val="32"/>
          <w:szCs w:val="32"/>
        </w:rPr>
        <w:t>的</w:t>
      </w:r>
      <w:r>
        <w:rPr>
          <w:rFonts w:hint="eastAsia"/>
          <w:b/>
          <w:bCs/>
          <w:sz w:val="32"/>
          <w:szCs w:val="32"/>
          <w:lang w:val="en-US" w:eastAsia="zh-CN"/>
        </w:rPr>
        <w:t>招标</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检验科B型脑钠肽、肌钙蛋白检测项目</w:t>
      </w:r>
      <w:r>
        <w:rPr>
          <w:rFonts w:hint="eastAsia" w:ascii="宋体" w:hAnsi="宋体" w:eastAsia="宋体" w:cs="Arial"/>
          <w:sz w:val="24"/>
          <w:szCs w:val="24"/>
        </w:rPr>
        <w:t>进行</w:t>
      </w:r>
      <w:r>
        <w:rPr>
          <w:rFonts w:hint="eastAsia" w:ascii="宋体" w:hAnsi="宋体" w:cs="Arial"/>
          <w:sz w:val="24"/>
          <w:szCs w:val="24"/>
          <w:lang w:val="en-US" w:eastAsia="zh-CN"/>
        </w:rPr>
        <w:t>竞争性磋商</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检验</w:t>
      </w:r>
      <w:r>
        <w:rPr>
          <w:rFonts w:hint="eastAsia"/>
          <w:b w:val="0"/>
          <w:bCs w:val="0"/>
          <w:sz w:val="24"/>
          <w:szCs w:val="24"/>
          <w:lang w:val="en-US" w:eastAsia="zh-CN"/>
        </w:rPr>
        <w:t>科B型脑钠肽、肌钙蛋白检测</w:t>
      </w:r>
      <w:r>
        <w:rPr>
          <w:sz w:val="24"/>
          <w:szCs w:val="24"/>
        </w:rPr>
        <w:t>项目</w:t>
      </w:r>
      <w:r>
        <w:rPr>
          <w:rFonts w:hint="eastAsia"/>
          <w:sz w:val="24"/>
          <w:szCs w:val="24"/>
          <w:lang w:eastAsia="zh-CN"/>
        </w:rPr>
        <w:t>，</w:t>
      </w:r>
      <w:r>
        <w:rPr>
          <w:rFonts w:hint="eastAsia"/>
          <w:sz w:val="24"/>
          <w:szCs w:val="24"/>
          <w:lang w:val="en-US" w:eastAsia="zh-CN"/>
        </w:rPr>
        <w:t>现对这两种试剂及配套设备进行重新遴选。该检测项目的设备需求参数见下表。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2012"/>
        <w:gridCol w:w="5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序号</w:t>
            </w:r>
          </w:p>
        </w:tc>
        <w:tc>
          <w:tcPr>
            <w:tcW w:w="2012" w:type="dxa"/>
          </w:tcPr>
          <w:p>
            <w:pPr>
              <w:pStyle w:val="12"/>
              <w:bidi w:val="0"/>
              <w:rPr>
                <w:rFonts w:hint="default"/>
                <w:sz w:val="24"/>
                <w:szCs w:val="24"/>
                <w:vertAlign w:val="baseline"/>
                <w:lang w:val="en-US" w:eastAsia="zh-CN"/>
              </w:rPr>
            </w:pPr>
            <w:r>
              <w:rPr>
                <w:rFonts w:hint="eastAsia"/>
                <w:sz w:val="24"/>
                <w:szCs w:val="24"/>
                <w:vertAlign w:val="baseline"/>
                <w:lang w:val="en-US" w:eastAsia="zh-CN"/>
              </w:rPr>
              <w:t>项目</w:t>
            </w:r>
          </w:p>
        </w:tc>
        <w:tc>
          <w:tcPr>
            <w:tcW w:w="5178" w:type="dxa"/>
          </w:tcPr>
          <w:p>
            <w:pPr>
              <w:pStyle w:val="12"/>
              <w:bidi w:val="0"/>
              <w:jc w:val="center"/>
              <w:rPr>
                <w:rFonts w:hint="default"/>
                <w:sz w:val="24"/>
                <w:szCs w:val="24"/>
                <w:vertAlign w:val="baseline"/>
                <w:lang w:val="en-US" w:eastAsia="zh-CN"/>
              </w:rPr>
            </w:pPr>
            <w:r>
              <w:rPr>
                <w:rFonts w:hint="eastAsia"/>
                <w:sz w:val="24"/>
                <w:szCs w:val="24"/>
                <w:vertAlign w:val="baseli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1</w:t>
            </w:r>
          </w:p>
        </w:tc>
        <w:tc>
          <w:tcPr>
            <w:tcW w:w="2012" w:type="dxa"/>
          </w:tcPr>
          <w:p>
            <w:pPr>
              <w:pStyle w:val="12"/>
              <w:bidi w:val="0"/>
              <w:rPr>
                <w:rFonts w:hint="default"/>
                <w:sz w:val="24"/>
                <w:szCs w:val="24"/>
                <w:vertAlign w:val="baseline"/>
                <w:lang w:val="en-US" w:eastAsia="zh-CN"/>
              </w:rPr>
            </w:pPr>
            <w:r>
              <w:rPr>
                <w:rFonts w:hint="eastAsia"/>
                <w:sz w:val="24"/>
                <w:szCs w:val="24"/>
                <w:vertAlign w:val="baseline"/>
                <w:lang w:val="en-US" w:eastAsia="zh-CN"/>
              </w:rPr>
              <w:t>*方法学</w:t>
            </w:r>
          </w:p>
        </w:tc>
        <w:tc>
          <w:tcPr>
            <w:tcW w:w="5178" w:type="dxa"/>
          </w:tcPr>
          <w:p>
            <w:pPr>
              <w:pStyle w:val="12"/>
              <w:bidi w:val="0"/>
              <w:jc w:val="center"/>
              <w:rPr>
                <w:rFonts w:hint="default"/>
                <w:sz w:val="24"/>
                <w:szCs w:val="24"/>
                <w:vertAlign w:val="baseline"/>
                <w:lang w:val="en-US" w:eastAsia="zh-CN"/>
              </w:rPr>
            </w:pPr>
            <w:r>
              <w:rPr>
                <w:rFonts w:hint="eastAsia"/>
                <w:sz w:val="24"/>
                <w:szCs w:val="24"/>
                <w:vertAlign w:val="baseline"/>
                <w:lang w:val="en-US" w:eastAsia="zh-CN"/>
              </w:rPr>
              <w:t>免疫、化学发光法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2</w:t>
            </w:r>
          </w:p>
        </w:tc>
        <w:tc>
          <w:tcPr>
            <w:tcW w:w="2012" w:type="dxa"/>
          </w:tcPr>
          <w:p>
            <w:pPr>
              <w:pStyle w:val="12"/>
              <w:bidi w:val="0"/>
              <w:rPr>
                <w:rFonts w:hint="default"/>
                <w:sz w:val="24"/>
                <w:szCs w:val="24"/>
                <w:vertAlign w:val="baseline"/>
                <w:lang w:val="en-US" w:eastAsia="zh-CN"/>
              </w:rPr>
            </w:pPr>
            <w:r>
              <w:rPr>
                <w:rFonts w:hint="eastAsia"/>
                <w:sz w:val="24"/>
                <w:szCs w:val="24"/>
                <w:vertAlign w:val="baseline"/>
                <w:lang w:val="en-US" w:eastAsia="zh-CN"/>
              </w:rPr>
              <w:t>*样本类型</w:t>
            </w:r>
          </w:p>
        </w:tc>
        <w:tc>
          <w:tcPr>
            <w:tcW w:w="5178" w:type="dxa"/>
          </w:tcPr>
          <w:p>
            <w:pPr>
              <w:pStyle w:val="12"/>
              <w:bidi w:val="0"/>
              <w:jc w:val="center"/>
              <w:rPr>
                <w:rFonts w:hint="default"/>
                <w:sz w:val="24"/>
                <w:szCs w:val="24"/>
                <w:vertAlign w:val="baseline"/>
                <w:lang w:val="en-US" w:eastAsia="zh-CN"/>
              </w:rPr>
            </w:pPr>
            <w:r>
              <w:rPr>
                <w:rFonts w:hint="default"/>
                <w:sz w:val="24"/>
                <w:szCs w:val="24"/>
                <w:vertAlign w:val="baseline"/>
                <w:lang w:val="en-US" w:eastAsia="zh-CN"/>
              </w:rPr>
              <w:t>能使用全血样本检测</w:t>
            </w:r>
            <w:r>
              <w:rPr>
                <w:rFonts w:hint="eastAsia"/>
                <w:sz w:val="24"/>
                <w:szCs w:val="24"/>
                <w:vertAlign w:val="baseline"/>
                <w:lang w:val="en-US" w:eastAsia="zh-CN"/>
              </w:rPr>
              <w:t>（</w:t>
            </w:r>
            <w:r>
              <w:rPr>
                <w:rFonts w:hint="default"/>
                <w:sz w:val="24"/>
                <w:szCs w:val="24"/>
                <w:vertAlign w:val="baseline"/>
                <w:lang w:val="en-US" w:eastAsia="zh-CN"/>
              </w:rPr>
              <w:t>以说明书为准</w:t>
            </w: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3</w:t>
            </w:r>
          </w:p>
        </w:tc>
        <w:tc>
          <w:tcPr>
            <w:tcW w:w="2012" w:type="dxa"/>
          </w:tcPr>
          <w:p>
            <w:pPr>
              <w:pStyle w:val="12"/>
              <w:bidi w:val="0"/>
              <w:rPr>
                <w:rFonts w:hint="default"/>
                <w:sz w:val="24"/>
                <w:szCs w:val="24"/>
                <w:vertAlign w:val="baseline"/>
                <w:lang w:val="en-US" w:eastAsia="zh-CN"/>
              </w:rPr>
            </w:pPr>
            <w:r>
              <w:rPr>
                <w:rFonts w:hint="default"/>
                <w:sz w:val="24"/>
                <w:szCs w:val="24"/>
                <w:vertAlign w:val="baseline"/>
                <w:lang w:val="en-US" w:eastAsia="zh-CN"/>
              </w:rPr>
              <w:t>样本位</w:t>
            </w:r>
          </w:p>
        </w:tc>
        <w:tc>
          <w:tcPr>
            <w:tcW w:w="5178" w:type="dxa"/>
          </w:tcPr>
          <w:p>
            <w:pPr>
              <w:pStyle w:val="12"/>
              <w:bidi w:val="0"/>
              <w:jc w:val="center"/>
              <w:rPr>
                <w:rFonts w:hint="default"/>
                <w:sz w:val="24"/>
                <w:szCs w:val="24"/>
                <w:vertAlign w:val="baseline"/>
                <w:lang w:val="en-US" w:eastAsia="zh-CN"/>
              </w:rPr>
            </w:pPr>
            <w:r>
              <w:rPr>
                <w:rFonts w:hint="default"/>
                <w:sz w:val="24"/>
                <w:szCs w:val="24"/>
                <w:vertAlign w:val="baseline"/>
                <w:lang w:val="en-US" w:eastAsia="zh-CN"/>
              </w:rPr>
              <w:t>≥50</w:t>
            </w:r>
            <w:r>
              <w:rPr>
                <w:rFonts w:hint="eastAsia"/>
                <w:sz w:val="24"/>
                <w:szCs w:val="24"/>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4</w:t>
            </w:r>
          </w:p>
        </w:tc>
        <w:tc>
          <w:tcPr>
            <w:tcW w:w="2012" w:type="dxa"/>
          </w:tcPr>
          <w:p>
            <w:pPr>
              <w:pStyle w:val="12"/>
              <w:bidi w:val="0"/>
              <w:rPr>
                <w:rFonts w:hint="default"/>
                <w:sz w:val="24"/>
                <w:szCs w:val="24"/>
                <w:vertAlign w:val="baseline"/>
                <w:lang w:val="en-US" w:eastAsia="zh-CN"/>
              </w:rPr>
            </w:pPr>
            <w:r>
              <w:rPr>
                <w:rFonts w:hint="eastAsia"/>
                <w:sz w:val="24"/>
                <w:szCs w:val="24"/>
                <w:vertAlign w:val="baseline"/>
                <w:lang w:val="en-US" w:eastAsia="zh-CN"/>
              </w:rPr>
              <w:t>LIS</w:t>
            </w:r>
          </w:p>
        </w:tc>
        <w:tc>
          <w:tcPr>
            <w:tcW w:w="5178" w:type="dxa"/>
          </w:tcPr>
          <w:p>
            <w:pPr>
              <w:pStyle w:val="12"/>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支持双向通讯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5</w:t>
            </w:r>
          </w:p>
        </w:tc>
        <w:tc>
          <w:tcPr>
            <w:tcW w:w="2012" w:type="dxa"/>
          </w:tcPr>
          <w:p>
            <w:pPr>
              <w:pStyle w:val="12"/>
              <w:bidi w:val="0"/>
              <w:rPr>
                <w:rFonts w:hint="default"/>
                <w:sz w:val="24"/>
                <w:szCs w:val="24"/>
                <w:vertAlign w:val="baseline"/>
                <w:lang w:val="en-US" w:eastAsia="zh-CN"/>
              </w:rPr>
            </w:pPr>
            <w:r>
              <w:rPr>
                <w:rFonts w:hint="eastAsia"/>
                <w:sz w:val="24"/>
                <w:szCs w:val="24"/>
                <w:vertAlign w:val="baseline"/>
                <w:lang w:val="en-US" w:eastAsia="zh-CN"/>
              </w:rPr>
              <w:t>室间质评</w:t>
            </w:r>
          </w:p>
        </w:tc>
        <w:tc>
          <w:tcPr>
            <w:tcW w:w="5178" w:type="dxa"/>
          </w:tcPr>
          <w:p>
            <w:pPr>
              <w:pStyle w:val="12"/>
              <w:bidi w:val="0"/>
              <w:jc w:val="center"/>
              <w:rPr>
                <w:rFonts w:hint="default"/>
                <w:sz w:val="24"/>
                <w:szCs w:val="24"/>
                <w:vertAlign w:val="baseline"/>
                <w:lang w:val="en-US" w:eastAsia="zh-CN"/>
              </w:rPr>
            </w:pPr>
            <w:r>
              <w:rPr>
                <w:rFonts w:hint="eastAsia"/>
                <w:sz w:val="24"/>
                <w:szCs w:val="24"/>
                <w:vertAlign w:val="baseline"/>
                <w:lang w:val="en-US" w:eastAsia="zh-CN"/>
              </w:rPr>
              <w:t>卫生部室间质评单独分组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6</w:t>
            </w:r>
          </w:p>
        </w:tc>
        <w:tc>
          <w:tcPr>
            <w:tcW w:w="2012" w:type="dxa"/>
          </w:tcPr>
          <w:p>
            <w:pPr>
              <w:pStyle w:val="12"/>
              <w:bidi w:val="0"/>
              <w:rPr>
                <w:rFonts w:hint="default"/>
                <w:sz w:val="24"/>
                <w:szCs w:val="24"/>
                <w:vertAlign w:val="baseline"/>
                <w:lang w:val="en-US" w:eastAsia="zh-CN"/>
              </w:rPr>
            </w:pPr>
            <w:r>
              <w:rPr>
                <w:rFonts w:hint="eastAsia"/>
                <w:sz w:val="24"/>
                <w:szCs w:val="24"/>
                <w:vertAlign w:val="baseline"/>
                <w:lang w:val="en-US" w:eastAsia="zh-CN"/>
              </w:rPr>
              <w:t>技术支持</w:t>
            </w:r>
          </w:p>
        </w:tc>
        <w:tc>
          <w:tcPr>
            <w:tcW w:w="5178" w:type="dxa"/>
          </w:tcPr>
          <w:p>
            <w:pPr>
              <w:pStyle w:val="12"/>
              <w:bidi w:val="0"/>
              <w:jc w:val="center"/>
              <w:rPr>
                <w:rFonts w:hint="default"/>
                <w:sz w:val="24"/>
                <w:szCs w:val="24"/>
                <w:vertAlign w:val="baseline"/>
                <w:lang w:val="en-US" w:eastAsia="zh-CN"/>
              </w:rPr>
            </w:pPr>
            <w:r>
              <w:rPr>
                <w:rFonts w:hint="default"/>
                <w:sz w:val="24"/>
                <w:szCs w:val="24"/>
                <w:vertAlign w:val="baseline"/>
                <w:lang w:val="en-US" w:eastAsia="zh-CN"/>
              </w:rPr>
              <w:t>提供厂家认证的，本地驻地工程师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12"/>
              <w:bidi w:val="0"/>
              <w:rPr>
                <w:rFonts w:hint="default"/>
                <w:sz w:val="24"/>
                <w:szCs w:val="24"/>
                <w:vertAlign w:val="baseline"/>
                <w:lang w:val="en-US" w:eastAsia="zh-CN"/>
              </w:rPr>
            </w:pPr>
            <w:r>
              <w:rPr>
                <w:rFonts w:hint="eastAsia"/>
                <w:sz w:val="24"/>
                <w:szCs w:val="24"/>
                <w:vertAlign w:val="baseline"/>
                <w:lang w:val="en-US" w:eastAsia="zh-CN"/>
              </w:rPr>
              <w:t>7</w:t>
            </w:r>
          </w:p>
        </w:tc>
        <w:tc>
          <w:tcPr>
            <w:tcW w:w="2012" w:type="dxa"/>
          </w:tcPr>
          <w:p>
            <w:pPr>
              <w:pStyle w:val="12"/>
              <w:bidi w:val="0"/>
              <w:rPr>
                <w:rFonts w:hint="default"/>
                <w:sz w:val="24"/>
                <w:szCs w:val="24"/>
                <w:vertAlign w:val="baseline"/>
                <w:lang w:val="en-US" w:eastAsia="zh-CN"/>
              </w:rPr>
            </w:pPr>
            <w:r>
              <w:rPr>
                <w:rFonts w:hint="eastAsia"/>
                <w:sz w:val="24"/>
                <w:szCs w:val="24"/>
                <w:vertAlign w:val="baseline"/>
                <w:lang w:val="en-US" w:eastAsia="zh-CN"/>
              </w:rPr>
              <w:t>*检验速度</w:t>
            </w:r>
          </w:p>
        </w:tc>
        <w:tc>
          <w:tcPr>
            <w:tcW w:w="5178" w:type="dxa"/>
          </w:tcPr>
          <w:p>
            <w:pPr>
              <w:pStyle w:val="12"/>
              <w:bidi w:val="0"/>
              <w:jc w:val="center"/>
              <w:rPr>
                <w:rFonts w:hint="default"/>
                <w:sz w:val="24"/>
                <w:szCs w:val="24"/>
                <w:vertAlign w:val="baseline"/>
                <w:lang w:val="en-US" w:eastAsia="zh-CN"/>
              </w:rPr>
            </w:pPr>
            <w:r>
              <w:rPr>
                <w:rFonts w:hint="default"/>
                <w:sz w:val="24"/>
                <w:szCs w:val="24"/>
                <w:vertAlign w:val="baseline"/>
                <w:lang w:val="en-US" w:eastAsia="zh-CN"/>
              </w:rPr>
              <w:t>单个标本出报告时间</w:t>
            </w:r>
            <w:r>
              <w:rPr>
                <w:rFonts w:hint="eastAsia"/>
                <w:sz w:val="24"/>
                <w:szCs w:val="24"/>
                <w:vertAlign w:val="baseline"/>
                <w:lang w:val="en-US" w:eastAsia="zh-CN"/>
              </w:rPr>
              <w:t>≤</w:t>
            </w:r>
            <w:r>
              <w:rPr>
                <w:rFonts w:hint="default"/>
                <w:sz w:val="24"/>
                <w:szCs w:val="24"/>
                <w:vertAlign w:val="baseline"/>
                <w:lang w:val="en-US" w:eastAsia="zh-CN"/>
              </w:rPr>
              <w:t>1</w:t>
            </w:r>
            <w:r>
              <w:rPr>
                <w:rFonts w:hint="eastAsia"/>
                <w:sz w:val="24"/>
                <w:szCs w:val="24"/>
                <w:vertAlign w:val="baseline"/>
                <w:lang w:val="en-US" w:eastAsia="zh-CN"/>
              </w:rPr>
              <w:t>2</w:t>
            </w:r>
            <w:r>
              <w:rPr>
                <w:rFonts w:hint="default"/>
                <w:sz w:val="24"/>
                <w:szCs w:val="24"/>
                <w:vertAlign w:val="baseline"/>
                <w:lang w:val="en-US" w:eastAsia="zh-CN"/>
              </w:rPr>
              <w:t>分钟</w:t>
            </w:r>
            <w:r>
              <w:rPr>
                <w:rFonts w:hint="default"/>
                <w:sz w:val="24"/>
                <w:szCs w:val="24"/>
                <w:vertAlign w:val="baseline"/>
                <w:lang w:val="en-US" w:eastAsia="zh-CN"/>
              </w:rPr>
              <w:br w:type="textWrapping"/>
            </w:r>
            <w:r>
              <w:rPr>
                <w:rFonts w:hint="eastAsia"/>
                <w:sz w:val="24"/>
                <w:szCs w:val="24"/>
                <w:vertAlign w:val="baseline"/>
                <w:lang w:val="en-US" w:eastAsia="zh-CN"/>
              </w:rPr>
              <w:t>每小时测试数≥150测试</w:t>
            </w:r>
          </w:p>
        </w:tc>
      </w:tr>
    </w:tbl>
    <w:p>
      <w:pPr>
        <w:keepNext w:val="0"/>
        <w:keepLines w:val="0"/>
        <w:pageBreakBefore w:val="0"/>
        <w:tabs>
          <w:tab w:val="left" w:pos="360"/>
        </w:tabs>
        <w:kinsoku/>
        <w:wordWrap/>
        <w:overflowPunct/>
        <w:topLinePunct w:val="0"/>
        <w:autoSpaceDE/>
        <w:autoSpaceDN/>
        <w:bidi w:val="0"/>
        <w:adjustRightInd/>
        <w:spacing w:line="400" w:lineRule="exact"/>
        <w:ind w:firstLine="400" w:firstLineChars="200"/>
        <w:jc w:val="left"/>
        <w:textAlignment w:val="auto"/>
        <w:rPr>
          <w:rFonts w:hint="default" w:ascii="新宋体" w:hAnsi="新宋体" w:eastAsia="新宋体"/>
          <w:b w:val="0"/>
          <w:bCs w:val="0"/>
          <w:sz w:val="20"/>
          <w:szCs w:val="20"/>
          <w:lang w:val="en-US" w:eastAsia="zh-CN"/>
        </w:rPr>
      </w:pPr>
      <w:r>
        <w:rPr>
          <w:rFonts w:hint="eastAsia" w:ascii="新宋体" w:hAnsi="新宋体" w:eastAsia="新宋体"/>
          <w:b w:val="0"/>
          <w:bCs w:val="0"/>
          <w:sz w:val="20"/>
          <w:szCs w:val="20"/>
          <w:lang w:val="en-US" w:eastAsia="zh-CN"/>
        </w:rPr>
        <w:t>打‘*’的项目投标产品必须满足，否则视为无效标。</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新宋体" w:hAnsi="新宋体" w:eastAsia="新宋体"/>
          <w:b/>
          <w:bCs/>
          <w:sz w:val="24"/>
          <w:szCs w:val="24"/>
          <w:lang w:val="en-US" w:eastAsia="zh-CN"/>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竞争性磋商</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b w:val="0"/>
          <w:bCs w:val="0"/>
          <w:sz w:val="24"/>
          <w:szCs w:val="24"/>
          <w:lang w:val="en-US" w:eastAsia="zh-CN"/>
        </w:rPr>
        <w:t>B型脑钠肽54元/T；肌钙蛋白28元/T</w:t>
      </w:r>
      <w:r>
        <w:rPr>
          <w:rFonts w:hint="eastAsia"/>
          <w:b/>
          <w:bCs/>
          <w:sz w:val="24"/>
          <w:szCs w:val="24"/>
          <w:lang w:val="en-US" w:eastAsia="zh-CN"/>
        </w:rPr>
        <w:t>（含质控品、校准品）</w:t>
      </w:r>
      <w:r>
        <w:rPr>
          <w:rFonts w:hint="eastAsia"/>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bCs/>
          <w:sz w:val="24"/>
          <w:lang w:val="en-US" w:eastAsia="zh-CN"/>
        </w:rPr>
        <w:t>8、设备终身质保，配件免费更换，售后服务电话可24h响应。</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ascii="宋体" w:hAnsi="宋体" w:eastAsia="宋体" w:cs="宋体"/>
          <w:b/>
          <w:kern w:val="0"/>
          <w:sz w:val="24"/>
          <w:szCs w:val="24"/>
          <w:lang w:val="en-US" w:eastAsia="zh-CN"/>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lang w:val="en-US" w:eastAsia="zh-CN"/>
        </w:rPr>
        <w:t>评分标准</w:t>
      </w:r>
    </w:p>
    <w:tbl>
      <w:tblPr>
        <w:tblStyle w:val="8"/>
        <w:tblW w:w="92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869"/>
        <w:gridCol w:w="5103"/>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08"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评审内容</w:t>
            </w:r>
          </w:p>
        </w:tc>
        <w:tc>
          <w:tcPr>
            <w:tcW w:w="869"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满分值</w:t>
            </w:r>
          </w:p>
        </w:tc>
        <w:tc>
          <w:tcPr>
            <w:tcW w:w="5103"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评审细则</w:t>
            </w:r>
          </w:p>
        </w:tc>
        <w:tc>
          <w:tcPr>
            <w:tcW w:w="1188"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268" w:type="dxa"/>
            <w:gridSpan w:val="4"/>
            <w:noWrap w:val="0"/>
            <w:vAlign w:val="top"/>
          </w:tcPr>
          <w:p>
            <w:pPr>
              <w:pStyle w:val="4"/>
              <w:rPr>
                <w:rFonts w:ascii="宋体" w:hAnsi="宋体"/>
                <w:b w:val="0"/>
                <w:bCs/>
                <w:sz w:val="21"/>
                <w:szCs w:val="21"/>
                <w:lang w:val="en-US" w:eastAsia="zh-CN"/>
              </w:rPr>
            </w:pPr>
            <w:r>
              <w:rPr>
                <w:rFonts w:hint="eastAsia" w:ascii="宋体" w:hAnsi="宋体"/>
                <w:b w:val="0"/>
                <w:bCs/>
                <w:color w:val="000000"/>
                <w:sz w:val="21"/>
                <w:szCs w:val="21"/>
                <w:lang w:val="en-US" w:eastAsia="zh-CN"/>
              </w:rPr>
              <w:t>（一）技术因素（50分）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108" w:type="dxa"/>
            <w:noWrap w:val="0"/>
            <w:vAlign w:val="top"/>
          </w:tcPr>
          <w:p>
            <w:pPr>
              <w:spacing w:line="360" w:lineRule="auto"/>
              <w:rPr>
                <w:rFonts w:ascii="宋体" w:hAnsi="宋体"/>
                <w:b w:val="0"/>
                <w:bCs/>
                <w:szCs w:val="21"/>
              </w:rPr>
            </w:pPr>
            <w:r>
              <w:rPr>
                <w:rFonts w:hint="eastAsia" w:ascii="宋体" w:hAnsi="宋体"/>
                <w:b w:val="0"/>
                <w:bCs/>
                <w:szCs w:val="21"/>
              </w:rPr>
              <w:t>1.1基础</w:t>
            </w:r>
            <w:r>
              <w:rPr>
                <w:rFonts w:hint="eastAsia" w:ascii="宋体" w:hAnsi="宋体"/>
                <w:b w:val="0"/>
                <w:bCs/>
                <w:szCs w:val="21"/>
                <w:lang w:val="en-US" w:eastAsia="zh-CN"/>
              </w:rPr>
              <w:t>要求</w:t>
            </w:r>
          </w:p>
        </w:tc>
        <w:tc>
          <w:tcPr>
            <w:tcW w:w="869" w:type="dxa"/>
            <w:noWrap w:val="0"/>
            <w:vAlign w:val="top"/>
          </w:tcPr>
          <w:p>
            <w:pPr>
              <w:pStyle w:val="4"/>
              <w:jc w:val="center"/>
              <w:rPr>
                <w:rFonts w:hint="default" w:ascii="宋体" w:hAnsi="??_GB2312" w:cs="宋体"/>
                <w:b w:val="0"/>
                <w:bCs/>
                <w:kern w:val="0"/>
                <w:sz w:val="21"/>
                <w:szCs w:val="21"/>
                <w:lang w:val="en-US" w:eastAsia="zh-CN"/>
              </w:rPr>
            </w:pPr>
            <w:r>
              <w:rPr>
                <w:rFonts w:hint="eastAsia" w:ascii="宋体" w:hAnsi="??_GB2312" w:cs="宋体"/>
                <w:b w:val="0"/>
                <w:bCs/>
                <w:kern w:val="0"/>
                <w:sz w:val="21"/>
                <w:szCs w:val="21"/>
                <w:lang w:val="en-US" w:eastAsia="zh-CN"/>
              </w:rPr>
              <w:t>/</w:t>
            </w:r>
          </w:p>
        </w:tc>
        <w:tc>
          <w:tcPr>
            <w:tcW w:w="5103" w:type="dxa"/>
            <w:noWrap w:val="0"/>
            <w:vAlign w:val="top"/>
          </w:tcPr>
          <w:p>
            <w:pPr>
              <w:autoSpaceDE w:val="0"/>
              <w:autoSpaceDN w:val="0"/>
              <w:adjustRightInd w:val="0"/>
              <w:rPr>
                <w:rFonts w:ascii="宋体" w:hAnsi="??_GB2312" w:cs="宋体"/>
                <w:b w:val="0"/>
                <w:bCs/>
                <w:kern w:val="0"/>
                <w:szCs w:val="21"/>
              </w:rPr>
            </w:pPr>
            <w:r>
              <w:rPr>
                <w:rFonts w:hint="eastAsia" w:ascii="宋体" w:hAnsi="??_GB2312" w:cs="宋体"/>
                <w:b w:val="0"/>
                <w:bCs/>
                <w:kern w:val="0"/>
                <w:szCs w:val="21"/>
              </w:rPr>
              <w:t>投标商</w:t>
            </w:r>
            <w:r>
              <w:rPr>
                <w:rFonts w:hint="eastAsia" w:ascii="宋体" w:hAnsi="??_GB2312" w:cs="宋体"/>
                <w:b w:val="0"/>
                <w:bCs/>
                <w:kern w:val="0"/>
                <w:szCs w:val="21"/>
                <w:lang w:val="en-US" w:eastAsia="zh-CN"/>
              </w:rPr>
              <w:t>需</w:t>
            </w:r>
            <w:r>
              <w:rPr>
                <w:rFonts w:hint="eastAsia" w:ascii="宋体" w:hAnsi="??_GB2312" w:cs="宋体"/>
                <w:b w:val="0"/>
                <w:bCs/>
                <w:kern w:val="0"/>
                <w:szCs w:val="21"/>
              </w:rPr>
              <w:t>提供销售产品的相关授权，无相关授权</w:t>
            </w:r>
            <w:r>
              <w:rPr>
                <w:rFonts w:hint="eastAsia" w:ascii="宋体" w:hAnsi="??_GB2312" w:cs="宋体"/>
                <w:b w:val="0"/>
                <w:bCs/>
                <w:kern w:val="0"/>
                <w:szCs w:val="21"/>
                <w:lang w:val="en-US" w:eastAsia="zh-CN"/>
              </w:rPr>
              <w:t>视为无效标</w:t>
            </w:r>
            <w:r>
              <w:rPr>
                <w:rFonts w:hint="eastAsia" w:ascii="宋体" w:hAnsi="??_GB2312" w:cs="宋体"/>
                <w:b w:val="0"/>
                <w:bCs/>
                <w:kern w:val="0"/>
                <w:szCs w:val="21"/>
              </w:rPr>
              <w:t>。</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68" w:type="dxa"/>
            <w:gridSpan w:val="4"/>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2.质量保障</w:t>
            </w:r>
          </w:p>
          <w:p>
            <w:pPr>
              <w:pStyle w:val="4"/>
              <w:rPr>
                <w:rFonts w:ascii="宋体" w:hAnsi="宋体"/>
                <w:b w:val="0"/>
                <w:bCs/>
                <w:sz w:val="21"/>
                <w:szCs w:val="21"/>
                <w:lang w:val="en-US" w:eastAsia="zh-CN"/>
              </w:rPr>
            </w:pPr>
            <w:r>
              <w:rPr>
                <w:rFonts w:hint="eastAsia" w:ascii="宋体" w:hAnsi="宋体"/>
                <w:b w:val="0"/>
                <w:bCs/>
                <w:sz w:val="21"/>
                <w:szCs w:val="21"/>
                <w:lang w:val="en-US" w:eastAsia="zh-CN"/>
              </w:rPr>
              <w:t>（以下所有条目需提供相应的证明文件，并盖章）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2.1 浙江</w:t>
            </w:r>
            <w:r>
              <w:rPr>
                <w:rFonts w:ascii="宋体" w:hAnsi="宋体"/>
                <w:b w:val="0"/>
                <w:bCs/>
                <w:szCs w:val="21"/>
              </w:rPr>
              <w:t>省</w:t>
            </w:r>
            <w:r>
              <w:rPr>
                <w:rFonts w:hint="eastAsia" w:ascii="宋体" w:hAnsi="宋体"/>
                <w:b w:val="0"/>
                <w:bCs/>
                <w:szCs w:val="21"/>
              </w:rPr>
              <w:t>内</w:t>
            </w:r>
            <w:r>
              <w:rPr>
                <w:rFonts w:ascii="宋体" w:hAnsi="宋体"/>
                <w:b w:val="0"/>
                <w:bCs/>
                <w:szCs w:val="21"/>
              </w:rPr>
              <w:t>三甲医院</w:t>
            </w:r>
            <w:r>
              <w:rPr>
                <w:rFonts w:hint="eastAsia" w:ascii="宋体" w:hAnsi="宋体"/>
                <w:b w:val="0"/>
                <w:bCs/>
                <w:szCs w:val="21"/>
              </w:rPr>
              <w:t>使用情况</w:t>
            </w:r>
          </w:p>
        </w:tc>
        <w:tc>
          <w:tcPr>
            <w:tcW w:w="869" w:type="dxa"/>
            <w:shd w:val="clear" w:color="auto" w:fill="FFFFFF"/>
            <w:noWrap w:val="0"/>
            <w:vAlign w:val="top"/>
          </w:tcPr>
          <w:p>
            <w:pPr>
              <w:pStyle w:val="4"/>
              <w:jc w:val="center"/>
              <w:rPr>
                <w:rFonts w:ascii="宋体" w:hAnsi="宋体"/>
                <w:b w:val="0"/>
                <w:bCs/>
                <w:sz w:val="21"/>
                <w:szCs w:val="21"/>
                <w:lang w:val="en-US" w:eastAsia="zh-CN"/>
              </w:rPr>
            </w:pPr>
            <w:r>
              <w:rPr>
                <w:rFonts w:hint="eastAsia" w:ascii="宋体" w:hAnsi="宋体"/>
                <w:b w:val="0"/>
                <w:bCs/>
                <w:sz w:val="21"/>
                <w:szCs w:val="21"/>
                <w:lang w:val="en-US" w:eastAsia="zh-CN"/>
              </w:rPr>
              <w:t>2</w:t>
            </w:r>
          </w:p>
        </w:tc>
        <w:tc>
          <w:tcPr>
            <w:tcW w:w="5103" w:type="dxa"/>
            <w:shd w:val="clear" w:color="auto" w:fill="FFFFFF"/>
            <w:noWrap w:val="0"/>
            <w:vAlign w:val="top"/>
          </w:tcPr>
          <w:p>
            <w:pPr>
              <w:spacing w:line="360" w:lineRule="auto"/>
              <w:rPr>
                <w:rFonts w:hint="eastAsia" w:eastAsia="宋体"/>
                <w:b w:val="0"/>
                <w:bCs/>
                <w:lang w:eastAsia="zh-CN"/>
              </w:rPr>
            </w:pPr>
            <w:r>
              <w:rPr>
                <w:rFonts w:hint="eastAsia"/>
                <w:b w:val="0"/>
                <w:bCs/>
              </w:rPr>
              <w:t>三甲</w:t>
            </w:r>
            <w:r>
              <w:rPr>
                <w:b w:val="0"/>
                <w:bCs/>
              </w:rPr>
              <w:t>医院</w:t>
            </w:r>
            <w:r>
              <w:rPr>
                <w:rFonts w:hint="eastAsia"/>
                <w:b w:val="0"/>
                <w:bCs/>
              </w:rPr>
              <w:t>≥</w:t>
            </w:r>
            <w:r>
              <w:rPr>
                <w:rFonts w:hint="eastAsia"/>
                <w:b w:val="0"/>
                <w:bCs/>
                <w:lang w:val="en-US" w:eastAsia="zh-CN"/>
              </w:rPr>
              <w:t>3</w:t>
            </w:r>
            <w:r>
              <w:rPr>
                <w:rFonts w:hint="eastAsia"/>
                <w:b w:val="0"/>
                <w:bCs/>
              </w:rPr>
              <w:t>家</w:t>
            </w:r>
            <w:r>
              <w:rPr>
                <w:b w:val="0"/>
                <w:bCs/>
              </w:rPr>
              <w:t>的得</w:t>
            </w:r>
            <w:r>
              <w:rPr>
                <w:rFonts w:hint="eastAsia"/>
                <w:b w:val="0"/>
                <w:bCs/>
                <w:lang w:val="en-US" w:eastAsia="zh-CN"/>
              </w:rPr>
              <w:t>2</w:t>
            </w:r>
            <w:r>
              <w:rPr>
                <w:rFonts w:hint="eastAsia"/>
                <w:b w:val="0"/>
                <w:bCs/>
              </w:rPr>
              <w:t>分；三甲</w:t>
            </w:r>
            <w:r>
              <w:rPr>
                <w:b w:val="0"/>
                <w:bCs/>
              </w:rPr>
              <w:t>医院</w:t>
            </w:r>
            <w:r>
              <w:rPr>
                <w:rFonts w:hint="eastAsia"/>
                <w:b w:val="0"/>
                <w:bCs/>
              </w:rPr>
              <w:t>&lt;</w:t>
            </w:r>
            <w:r>
              <w:rPr>
                <w:rFonts w:hint="eastAsia"/>
                <w:b w:val="0"/>
                <w:bCs/>
                <w:lang w:val="en-US" w:eastAsia="zh-CN"/>
              </w:rPr>
              <w:t>3</w:t>
            </w:r>
            <w:r>
              <w:rPr>
                <w:rFonts w:hint="eastAsia"/>
                <w:b w:val="0"/>
                <w:bCs/>
              </w:rPr>
              <w:t>家</w:t>
            </w:r>
            <w:r>
              <w:rPr>
                <w:b w:val="0"/>
                <w:bCs/>
              </w:rPr>
              <w:t>的得0-</w:t>
            </w:r>
            <w:r>
              <w:rPr>
                <w:rFonts w:hint="eastAsia"/>
                <w:b w:val="0"/>
                <w:bCs/>
                <w:lang w:val="en-US" w:eastAsia="zh-CN"/>
              </w:rPr>
              <w:t>1</w:t>
            </w:r>
            <w:r>
              <w:rPr>
                <w:rFonts w:hint="eastAsia"/>
                <w:b w:val="0"/>
                <w:bCs/>
              </w:rPr>
              <w:t>分</w:t>
            </w:r>
            <w:r>
              <w:rPr>
                <w:rFonts w:hint="eastAsia"/>
                <w:b w:val="0"/>
                <w:bCs/>
                <w:lang w:eastAsia="zh-CN"/>
              </w:rPr>
              <w:t>。</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2.2配送服务</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6</w:t>
            </w:r>
          </w:p>
        </w:tc>
        <w:tc>
          <w:tcPr>
            <w:tcW w:w="5103" w:type="dxa"/>
            <w:shd w:val="clear" w:color="auto" w:fill="FFFFFF"/>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冷链运输：具备冷链配送承诺的得3分，无冷链配送的0分。到货时间：3天以内得4分，</w:t>
            </w:r>
            <w:r>
              <w:rPr>
                <w:rFonts w:ascii="宋体" w:hAnsi="宋体"/>
                <w:b w:val="0"/>
                <w:bCs/>
                <w:sz w:val="21"/>
                <w:szCs w:val="21"/>
                <w:lang w:val="en-US" w:eastAsia="zh-CN"/>
              </w:rPr>
              <w:t>4-6</w:t>
            </w:r>
            <w:r>
              <w:rPr>
                <w:rFonts w:hint="eastAsia" w:ascii="宋体" w:hAnsi="宋体"/>
                <w:b w:val="0"/>
                <w:bCs/>
                <w:sz w:val="21"/>
                <w:szCs w:val="21"/>
                <w:lang w:val="en-US" w:eastAsia="zh-CN"/>
              </w:rPr>
              <w:t>天得3分，7天以上得</w:t>
            </w:r>
            <w:r>
              <w:rPr>
                <w:rFonts w:ascii="宋体" w:hAnsi="宋体"/>
                <w:b w:val="0"/>
                <w:bCs/>
                <w:sz w:val="21"/>
                <w:szCs w:val="21"/>
                <w:lang w:val="en-US" w:eastAsia="zh-CN"/>
              </w:rPr>
              <w:t>1-2</w:t>
            </w:r>
            <w:r>
              <w:rPr>
                <w:rFonts w:hint="eastAsia" w:ascii="宋体" w:hAnsi="宋体"/>
                <w:b w:val="0"/>
                <w:bCs/>
                <w:sz w:val="21"/>
                <w:szCs w:val="21"/>
                <w:lang w:val="en-US" w:eastAsia="zh-CN"/>
              </w:rPr>
              <w:t>分，1</w:t>
            </w:r>
            <w:r>
              <w:rPr>
                <w:rFonts w:ascii="宋体" w:hAnsi="宋体"/>
                <w:b w:val="0"/>
                <w:bCs/>
                <w:sz w:val="21"/>
                <w:szCs w:val="21"/>
                <w:lang w:val="en-US" w:eastAsia="zh-CN"/>
              </w:rPr>
              <w:t>0</w:t>
            </w:r>
            <w:r>
              <w:rPr>
                <w:rFonts w:hint="eastAsia" w:ascii="宋体" w:hAnsi="宋体"/>
                <w:b w:val="0"/>
                <w:bCs/>
                <w:sz w:val="21"/>
                <w:szCs w:val="21"/>
                <w:lang w:val="en-US" w:eastAsia="zh-CN"/>
              </w:rPr>
              <w:t>天以上0分。</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2.3售后服务</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8</w:t>
            </w:r>
          </w:p>
        </w:tc>
        <w:tc>
          <w:tcPr>
            <w:tcW w:w="5103" w:type="dxa"/>
            <w:shd w:val="clear" w:color="auto" w:fill="FFFFFF"/>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投标商须提出中标后全面的服务方案，根据医院要求酌情给0-8分。</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hint="eastAsia" w:ascii="宋体" w:hAnsi="宋体"/>
                <w:b w:val="0"/>
                <w:bCs/>
                <w:szCs w:val="21"/>
              </w:rPr>
            </w:pPr>
            <w:r>
              <w:rPr>
                <w:rFonts w:hint="eastAsia" w:ascii="宋体" w:hAnsi="宋体"/>
                <w:b w:val="0"/>
                <w:bCs/>
                <w:szCs w:val="21"/>
              </w:rPr>
              <w:t xml:space="preserve">2.4 </w:t>
            </w:r>
            <w:r>
              <w:rPr>
                <w:rFonts w:hint="eastAsia" w:ascii="宋体" w:hAnsi="宋体"/>
                <w:b w:val="0"/>
                <w:bCs/>
                <w:szCs w:val="21"/>
                <w:lang w:val="en-US" w:eastAsia="zh-CN"/>
              </w:rPr>
              <w:t>设备</w:t>
            </w:r>
            <w:r>
              <w:rPr>
                <w:rFonts w:hint="eastAsia" w:ascii="宋体" w:hAnsi="宋体"/>
                <w:b w:val="0"/>
                <w:bCs/>
                <w:szCs w:val="21"/>
              </w:rPr>
              <w:t>综合评价</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14</w:t>
            </w:r>
          </w:p>
        </w:tc>
        <w:tc>
          <w:tcPr>
            <w:tcW w:w="5103" w:type="dxa"/>
            <w:shd w:val="clear" w:color="auto" w:fill="FFFFFF"/>
            <w:noWrap w:val="0"/>
            <w:vAlign w:val="top"/>
          </w:tcPr>
          <w:p>
            <w:pPr>
              <w:pStyle w:val="4"/>
              <w:rPr>
                <w:rFonts w:hint="default" w:ascii="宋体" w:hAnsi="宋体"/>
                <w:b w:val="0"/>
                <w:bCs/>
                <w:sz w:val="21"/>
                <w:szCs w:val="21"/>
                <w:lang w:val="en-US" w:eastAsia="zh-CN"/>
              </w:rPr>
            </w:pPr>
            <w:r>
              <w:rPr>
                <w:rFonts w:hint="eastAsia" w:ascii="宋体" w:hAnsi="宋体"/>
                <w:b w:val="0"/>
                <w:bCs/>
                <w:sz w:val="21"/>
                <w:szCs w:val="21"/>
                <w:lang w:val="en-US" w:eastAsia="zh-CN"/>
              </w:rPr>
              <w:t>对检测设备技术功能的先进性、易用性、运行可靠性等横向比较，进行打分。临床需求的七条技术参数，每满足一条得2分，不满足不得分。</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w:t>
            </w:r>
            <w:r>
              <w:rPr>
                <w:rFonts w:hint="eastAsia" w:ascii="宋体" w:hAnsi="宋体"/>
                <w:b w:val="0"/>
                <w:bCs/>
                <w:szCs w:val="21"/>
                <w:lang w:val="en-US" w:eastAsia="zh-CN"/>
              </w:rPr>
              <w:t>5</w:t>
            </w:r>
            <w:r>
              <w:rPr>
                <w:rFonts w:hint="eastAsia" w:ascii="宋体" w:hAnsi="宋体"/>
                <w:b w:val="0"/>
                <w:bCs/>
                <w:szCs w:val="21"/>
              </w:rPr>
              <w:t xml:space="preserve"> </w:t>
            </w:r>
            <w:r>
              <w:rPr>
                <w:rFonts w:hint="eastAsia" w:ascii="宋体" w:hAnsi="宋体"/>
                <w:b w:val="0"/>
                <w:bCs/>
                <w:szCs w:val="21"/>
                <w:lang w:val="en-US" w:eastAsia="zh-CN"/>
              </w:rPr>
              <w:t>试剂</w:t>
            </w:r>
            <w:r>
              <w:rPr>
                <w:rFonts w:hint="eastAsia" w:ascii="宋体" w:hAnsi="宋体"/>
                <w:b w:val="0"/>
                <w:bCs/>
                <w:szCs w:val="21"/>
              </w:rPr>
              <w:t>综合评价</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20</w:t>
            </w:r>
          </w:p>
        </w:tc>
        <w:tc>
          <w:tcPr>
            <w:tcW w:w="5103" w:type="dxa"/>
            <w:shd w:val="clear" w:color="auto" w:fill="FFFFFF"/>
            <w:noWrap w:val="0"/>
            <w:vAlign w:val="top"/>
          </w:tcPr>
          <w:p>
            <w:pPr>
              <w:pStyle w:val="4"/>
              <w:rPr>
                <w:rFonts w:hint="default" w:ascii="宋体" w:hAnsi="宋体"/>
                <w:b w:val="0"/>
                <w:bCs/>
                <w:sz w:val="21"/>
                <w:szCs w:val="21"/>
                <w:lang w:val="en-US" w:eastAsia="zh-CN"/>
              </w:rPr>
            </w:pPr>
            <w:r>
              <w:rPr>
                <w:rFonts w:hint="eastAsia" w:ascii="宋体" w:hAnsi="宋体"/>
                <w:b w:val="0"/>
                <w:bCs/>
                <w:sz w:val="21"/>
                <w:szCs w:val="21"/>
                <w:lang w:val="en-US" w:eastAsia="zh-CN"/>
              </w:rPr>
              <w:t>对投标试剂产品方法学的先进性、质量的稳定性、运行结果可靠性横向比较，进行排名打分。在所有有效投标单位中列第一名的得</w:t>
            </w:r>
            <w:r>
              <w:rPr>
                <w:rFonts w:ascii="宋体" w:hAnsi="宋体"/>
                <w:b w:val="0"/>
                <w:bCs/>
                <w:sz w:val="21"/>
                <w:szCs w:val="21"/>
                <w:lang w:val="en-US" w:eastAsia="zh-CN"/>
              </w:rPr>
              <w:t>2</w:t>
            </w:r>
            <w:r>
              <w:rPr>
                <w:rFonts w:hint="eastAsia" w:ascii="宋体" w:hAnsi="宋体"/>
                <w:b w:val="0"/>
                <w:bCs/>
                <w:sz w:val="21"/>
                <w:szCs w:val="21"/>
                <w:lang w:val="en-US" w:eastAsia="zh-CN"/>
              </w:rPr>
              <w:t>0分，第二名的得</w:t>
            </w:r>
            <w:r>
              <w:rPr>
                <w:rFonts w:ascii="宋体" w:hAnsi="宋体"/>
                <w:b w:val="0"/>
                <w:bCs/>
                <w:sz w:val="21"/>
                <w:szCs w:val="21"/>
                <w:lang w:val="en-US" w:eastAsia="zh-CN"/>
              </w:rPr>
              <w:t>15</w:t>
            </w:r>
            <w:r>
              <w:rPr>
                <w:rFonts w:hint="eastAsia" w:ascii="宋体" w:hAnsi="宋体"/>
                <w:b w:val="0"/>
                <w:bCs/>
                <w:sz w:val="21"/>
                <w:szCs w:val="21"/>
                <w:lang w:val="en-US" w:eastAsia="zh-CN"/>
              </w:rPr>
              <w:t>分，第三名的得</w:t>
            </w:r>
            <w:r>
              <w:rPr>
                <w:rFonts w:ascii="宋体" w:hAnsi="宋体"/>
                <w:b w:val="0"/>
                <w:bCs/>
                <w:sz w:val="21"/>
                <w:szCs w:val="21"/>
                <w:lang w:val="en-US" w:eastAsia="zh-CN"/>
              </w:rPr>
              <w:t>10</w:t>
            </w:r>
            <w:r>
              <w:rPr>
                <w:rFonts w:hint="eastAsia" w:ascii="宋体" w:hAnsi="宋体"/>
                <w:b w:val="0"/>
                <w:bCs/>
                <w:sz w:val="21"/>
                <w:szCs w:val="21"/>
                <w:lang w:val="en-US" w:eastAsia="zh-CN"/>
              </w:rPr>
              <w:t>分，第四名及以后的酌情打分</w:t>
            </w:r>
            <w:r>
              <w:rPr>
                <w:rFonts w:ascii="宋体" w:hAnsi="宋体"/>
                <w:b w:val="0"/>
                <w:bCs/>
                <w:sz w:val="21"/>
                <w:szCs w:val="21"/>
                <w:lang w:val="en-US" w:eastAsia="zh-CN"/>
              </w:rPr>
              <w:t>0-8</w:t>
            </w:r>
            <w:r>
              <w:rPr>
                <w:rFonts w:hint="eastAsia" w:ascii="宋体" w:hAnsi="宋体"/>
                <w:b w:val="0"/>
                <w:bCs/>
                <w:sz w:val="21"/>
                <w:szCs w:val="21"/>
                <w:lang w:val="en-US" w:eastAsia="zh-CN"/>
              </w:rPr>
              <w:t>分，不同供应商之间名次可并列且不影响后续供应商排名。</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268" w:type="dxa"/>
            <w:gridSpan w:val="4"/>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（二）价格因素（40分）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108" w:type="dxa"/>
            <w:noWrap w:val="0"/>
            <w:vAlign w:val="top"/>
          </w:tcPr>
          <w:p>
            <w:pPr>
              <w:spacing w:line="360" w:lineRule="auto"/>
              <w:rPr>
                <w:rFonts w:ascii="宋体" w:hAnsi="宋体"/>
                <w:b w:val="0"/>
                <w:bCs/>
                <w:szCs w:val="21"/>
              </w:rPr>
            </w:pPr>
            <w:r>
              <w:rPr>
                <w:rFonts w:hint="eastAsia" w:ascii="宋体" w:hAnsi="宋体"/>
                <w:b w:val="0"/>
                <w:bCs/>
                <w:szCs w:val="21"/>
              </w:rPr>
              <w:t>价格分（如有多项报价以医院使用量前三的项目作为投标评分标准）</w:t>
            </w:r>
          </w:p>
        </w:tc>
        <w:tc>
          <w:tcPr>
            <w:tcW w:w="869" w:type="dxa"/>
            <w:noWrap w:val="0"/>
            <w:vAlign w:val="top"/>
          </w:tcPr>
          <w:p>
            <w:pPr>
              <w:pStyle w:val="4"/>
              <w:ind w:firstLine="210" w:firstLineChars="100"/>
              <w:rPr>
                <w:rFonts w:hint="default" w:ascii="宋体" w:hAnsi="宋体"/>
                <w:b w:val="0"/>
                <w:bCs/>
                <w:sz w:val="21"/>
                <w:szCs w:val="21"/>
                <w:lang w:val="en-US" w:eastAsia="zh-CN"/>
              </w:rPr>
            </w:pPr>
            <w:r>
              <w:rPr>
                <w:rFonts w:hint="eastAsia" w:ascii="宋体" w:hAnsi="宋体"/>
                <w:b w:val="0"/>
                <w:bCs/>
                <w:sz w:val="21"/>
                <w:szCs w:val="21"/>
                <w:lang w:val="en-US" w:eastAsia="zh-CN"/>
              </w:rPr>
              <w:t>50</w:t>
            </w:r>
          </w:p>
        </w:tc>
        <w:tc>
          <w:tcPr>
            <w:tcW w:w="5103" w:type="dxa"/>
            <w:noWrap w:val="0"/>
            <w:vAlign w:val="top"/>
          </w:tcPr>
          <w:p>
            <w:pPr>
              <w:autoSpaceDE w:val="0"/>
              <w:autoSpaceDN w:val="0"/>
              <w:adjustRightInd w:val="0"/>
            </w:pPr>
            <w:r>
              <w:t>满足招标文件要求且</w:t>
            </w:r>
            <w:r>
              <w:rPr>
                <w:rFonts w:hint="eastAsia"/>
                <w:lang w:val="en-US" w:eastAsia="zh-CN"/>
              </w:rPr>
              <w:t>试剂或设备</w:t>
            </w:r>
            <w:r>
              <w:rPr>
                <w:rFonts w:hint="eastAsia"/>
              </w:rPr>
              <w:t>价格</w:t>
            </w:r>
            <w:r>
              <w:t>最低的投标</w:t>
            </w:r>
            <w:r>
              <w:rPr>
                <w:rFonts w:hint="eastAsia"/>
              </w:rPr>
              <w:t>商</w:t>
            </w:r>
            <w:r>
              <w:t>的</w:t>
            </w:r>
            <w:r>
              <w:rPr>
                <w:rFonts w:hint="eastAsia"/>
              </w:rPr>
              <w:t>价格</w:t>
            </w:r>
            <w:r>
              <w:t>为评标基准价，其</w:t>
            </w:r>
            <w:r>
              <w:rPr>
                <w:rFonts w:hint="eastAsia"/>
                <w:lang w:val="en-US" w:eastAsia="zh-CN"/>
              </w:rPr>
              <w:t>报价分别</w:t>
            </w:r>
            <w:r>
              <w:t>为</w:t>
            </w:r>
            <w:r>
              <w:rPr>
                <w:rFonts w:hint="eastAsia"/>
                <w:lang w:val="en-US" w:eastAsia="zh-CN"/>
              </w:rPr>
              <w:t>本次投标的基准分25</w:t>
            </w:r>
            <w:r>
              <w:t>分</w:t>
            </w:r>
            <w:r>
              <w:rPr>
                <w:rFonts w:hint="eastAsia"/>
                <w:lang w:eastAsia="zh-CN"/>
              </w:rPr>
              <w:t>，</w:t>
            </w:r>
            <w:r>
              <w:rPr>
                <w:rFonts w:hint="eastAsia"/>
                <w:lang w:val="en-US" w:eastAsia="zh-CN"/>
              </w:rPr>
              <w:t>试剂与设备总分50分</w:t>
            </w:r>
            <w:r>
              <w:t>。其他投标人的报价得分统一按照下列公式计算：</w:t>
            </w:r>
          </w:p>
          <w:p>
            <w:pPr>
              <w:spacing w:line="360" w:lineRule="auto"/>
              <w:rPr>
                <w:rFonts w:hint="eastAsia" w:ascii="Calibri" w:hAnsi="Calibri" w:eastAsia="宋体" w:cs="Times New Roman"/>
                <w:kern w:val="2"/>
                <w:sz w:val="21"/>
                <w:szCs w:val="24"/>
                <w:lang w:val="en-US" w:eastAsia="zh-CN" w:bidi="ar-SA"/>
              </w:rPr>
            </w:pPr>
            <w:r>
              <w:rPr>
                <w:rFonts w:hint="eastAsia"/>
                <w:lang w:val="en-US" w:eastAsia="zh-CN"/>
              </w:rPr>
              <w:t>试剂</w:t>
            </w:r>
            <w:r>
              <w:t>报价得分＝（</w:t>
            </w:r>
            <w:r>
              <w:rPr>
                <w:rFonts w:hint="eastAsia"/>
                <w:lang w:val="en-US" w:eastAsia="zh-CN"/>
              </w:rPr>
              <w:t>试剂</w:t>
            </w:r>
            <w:r>
              <w:t>基准</w:t>
            </w:r>
            <w:r>
              <w:rPr>
                <w:rFonts w:hint="eastAsia"/>
                <w:lang w:val="en-US" w:eastAsia="zh-CN"/>
              </w:rPr>
              <w:t>报价</w:t>
            </w:r>
            <w:r>
              <w:t>÷投标报价）×</w:t>
            </w:r>
            <w:r>
              <w:rPr>
                <w:rFonts w:hint="eastAsia"/>
                <w:lang w:val="en-US" w:eastAsia="zh-CN"/>
              </w:rPr>
              <w:t>25</w:t>
            </w:r>
            <w:r>
              <w:t>%×100。</w:t>
            </w:r>
            <w:r>
              <w:rPr>
                <w:rFonts w:hint="eastAsia"/>
                <w:lang w:val="en-US" w:eastAsia="zh-CN"/>
              </w:rPr>
              <w:t>设备</w:t>
            </w:r>
            <w:r>
              <w:t>报价得分＝（</w:t>
            </w:r>
            <w:r>
              <w:rPr>
                <w:rFonts w:hint="eastAsia"/>
                <w:lang w:val="en-US" w:eastAsia="zh-CN"/>
              </w:rPr>
              <w:t>设备</w:t>
            </w:r>
            <w:r>
              <w:t>基准</w:t>
            </w:r>
            <w:r>
              <w:rPr>
                <w:rFonts w:hint="eastAsia"/>
                <w:lang w:val="en-US" w:eastAsia="zh-CN"/>
              </w:rPr>
              <w:t>报价</w:t>
            </w:r>
            <w:r>
              <w:t>÷投标报价）×</w:t>
            </w:r>
            <w:r>
              <w:rPr>
                <w:rFonts w:hint="eastAsia"/>
                <w:lang w:val="en-US" w:eastAsia="zh-CN"/>
              </w:rPr>
              <w:t>25</w:t>
            </w:r>
            <w:r>
              <w:t>%×100。</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080" w:type="dxa"/>
            <w:gridSpan w:val="3"/>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合计得分：100</w:t>
            </w:r>
          </w:p>
        </w:tc>
        <w:tc>
          <w:tcPr>
            <w:tcW w:w="1188" w:type="dxa"/>
            <w:noWrap w:val="0"/>
            <w:vAlign w:val="top"/>
          </w:tcPr>
          <w:p>
            <w:pPr>
              <w:pStyle w:val="4"/>
              <w:rPr>
                <w:rFonts w:ascii="宋体" w:hAnsi="宋体"/>
                <w:b w:val="0"/>
                <w:bCs/>
                <w:sz w:val="21"/>
                <w:szCs w:val="21"/>
                <w:lang w:val="en-US" w:eastAsia="zh-CN"/>
              </w:rPr>
            </w:pPr>
          </w:p>
        </w:tc>
      </w:tr>
    </w:tbl>
    <w:p>
      <w:pPr>
        <w:pStyle w:val="2"/>
        <w:numPr>
          <w:ilvl w:val="0"/>
          <w:numId w:val="0"/>
        </w:numPr>
        <w:rPr>
          <w:rFonts w:hint="eastAsia"/>
          <w:lang w:val="en-US" w:eastAsia="zh-CN"/>
        </w:rPr>
      </w:pP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rPr>
        <w:t>递交的投标文件应分为技术标和商务标，技术标为除商务报价外的所有内容，且技术标和商务标分开制作，并单独密封包装。</w:t>
      </w:r>
      <w:r>
        <w:rPr>
          <w:rFonts w:ascii="宋体" w:hAnsi="宋体" w:cs="宋体"/>
          <w:b/>
          <w:bCs/>
          <w:kern w:val="0"/>
          <w:sz w:val="24"/>
          <w:szCs w:val="24"/>
        </w:rPr>
        <w:t>技术标（含资信与服务）不得含商务报价，否则作无效标处理。</w:t>
      </w:r>
      <w:r>
        <w:rPr>
          <w:rFonts w:hint="eastAsia" w:ascii="宋体" w:hAnsi="宋体" w:cs="宋体"/>
          <w:b/>
          <w:bCs/>
          <w:kern w:val="0"/>
          <w:sz w:val="24"/>
          <w:szCs w:val="24"/>
          <w:lang w:val="en-US" w:eastAsia="zh-CN"/>
        </w:rPr>
        <w:t>标书各一式二份</w:t>
      </w:r>
      <w:bookmarkStart w:id="0" w:name="_GoBack"/>
      <w:bookmarkEnd w:id="0"/>
      <w:r>
        <w:rPr>
          <w:rFonts w:hint="eastAsia" w:ascii="宋体" w:hAnsi="宋体" w:cs="宋体"/>
          <w:b/>
          <w:bCs/>
          <w:kern w:val="0"/>
          <w:sz w:val="24"/>
          <w:szCs w:val="24"/>
          <w:lang w:val="en-US" w:eastAsia="zh-CN"/>
        </w:rPr>
        <w:t>。</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提供供应商相关资质（营业执照</w:t>
      </w:r>
      <w:r>
        <w:rPr>
          <w:rFonts w:hint="eastAsia" w:ascii="宋体" w:hAnsi="宋体" w:cs="宋体"/>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附合同或发票复印件</w:t>
      </w:r>
      <w:r>
        <w:rPr>
          <w:rFonts w:hint="eastAsia" w:ascii="宋体" w:hAnsi="宋体" w:cs="宋体"/>
          <w:sz w:val="24"/>
          <w:szCs w:val="24"/>
          <w:lang w:val="en-US" w:eastAsia="zh-CN"/>
        </w:rPr>
        <w:t>，用户名单等</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r>
        <w:rPr>
          <w:rFonts w:hint="eastAsia" w:ascii="宋体" w:hAnsi="宋体" w:cs="宋体"/>
          <w:kern w:val="2"/>
          <w:sz w:val="24"/>
          <w:szCs w:val="24"/>
          <w:lang w:val="en-US" w:eastAsia="zh-CN" w:bidi="ar-SA"/>
        </w:rPr>
        <w:t>所投项目技术说明（如技术参数，彩页等）；</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七、</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"http://www.so.com/s?q=%E5%95%86%E5%8A%A1&amp;ie=utf-8&amp;src=internal_wenda_recommend_textn" \t "https://wenda.so.com/q/_blank"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商务</w:t>
      </w:r>
      <w:r>
        <w:rPr>
          <w:rFonts w:hint="eastAsia" w:asciiTheme="minorEastAsia" w:hAnsiTheme="minorEastAsia" w:eastAsiaTheme="minorEastAsia" w:cstheme="minorEastAsia"/>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联系人、联系方式</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8</w:t>
      </w:r>
      <w:r>
        <w:rPr>
          <w:rFonts w:hint="eastAsia" w:ascii="宋体" w:hAnsi="宋体" w:cs="Arial"/>
          <w:sz w:val="24"/>
          <w:szCs w:val="24"/>
        </w:rPr>
        <w:t>月</w:t>
      </w:r>
      <w:r>
        <w:rPr>
          <w:rFonts w:hint="eastAsia" w:ascii="宋体" w:hAnsi="宋体" w:cs="Arial"/>
          <w:sz w:val="24"/>
          <w:szCs w:val="24"/>
          <w:lang w:val="en-US" w:eastAsia="zh-CN"/>
        </w:rPr>
        <w:t>7</w:t>
      </w:r>
      <w:r>
        <w:rPr>
          <w:rFonts w:hint="eastAsia" w:ascii="宋体" w:hAnsi="宋体" w:cs="Arial"/>
          <w:sz w:val="24"/>
          <w:szCs w:val="24"/>
        </w:rPr>
        <w:t>日17时前寄送至义乌市中心医院行政楼一楼10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人：盛老师，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八、</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8</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8</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 w:val="24"/>
          <w:szCs w:val="24"/>
          <w:lang w:val="en-US" w:eastAsia="zh-CN"/>
        </w:rPr>
      </w:pPr>
      <w:r>
        <w:rPr>
          <w:rFonts w:hint="eastAsia" w:ascii="新宋体" w:hAnsi="新宋体" w:eastAsia="新宋体"/>
          <w:b/>
          <w:bCs/>
          <w:sz w:val="24"/>
          <w:szCs w:val="24"/>
          <w:lang w:val="en-US" w:eastAsia="zh-CN"/>
        </w:rPr>
        <w:t>九、</w:t>
      </w:r>
      <w:r>
        <w:rPr>
          <w:rFonts w:hint="eastAsia" w:ascii="新宋体" w:hAnsi="新宋体" w:eastAsia="新宋体"/>
          <w:sz w:val="24"/>
          <w:szCs w:val="24"/>
          <w:lang w:val="en-US" w:eastAsia="zh-CN"/>
        </w:rPr>
        <w:t>附件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eastAsia="宋体"/>
          <w:lang w:eastAsia="zh-CN"/>
        </w:rPr>
      </w:pPr>
      <w:r>
        <w:rPr>
          <w:rFonts w:hint="eastAsia"/>
        </w:rPr>
        <w:t xml:space="preserve">附件1：《报价一览表》。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eastAsia="宋体"/>
          <w:lang w:eastAsia="zh-CN"/>
        </w:rPr>
      </w:pP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8</w:t>
      </w:r>
      <w:r>
        <w:rPr>
          <w:rFonts w:hint="eastAsia" w:ascii="新宋体" w:hAnsi="新宋体" w:eastAsia="新宋体"/>
          <w:sz w:val="24"/>
          <w:szCs w:val="24"/>
        </w:rPr>
        <w:t>月</w:t>
      </w:r>
      <w:r>
        <w:rPr>
          <w:rFonts w:hint="eastAsia" w:ascii="新宋体" w:hAnsi="新宋体" w:eastAsia="新宋体"/>
          <w:sz w:val="24"/>
          <w:szCs w:val="24"/>
          <w:lang w:val="en-US" w:eastAsia="zh-CN"/>
        </w:rPr>
        <w:t>1</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499"/>
        <w:gridCol w:w="240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序号</w:t>
            </w:r>
          </w:p>
        </w:tc>
        <w:tc>
          <w:tcPr>
            <w:tcW w:w="3499" w:type="dxa"/>
            <w:noWrap w:val="0"/>
            <w:vAlign w:val="center"/>
          </w:tcPr>
          <w:p>
            <w:pPr>
              <w:jc w:val="center"/>
              <w:rPr>
                <w:rFonts w:ascii="Times New Roman" w:hAnsi="Times New Roman"/>
                <w:sz w:val="24"/>
              </w:rPr>
            </w:pPr>
            <w:r>
              <w:rPr>
                <w:rFonts w:hint="eastAsia" w:ascii="Times New Roman" w:hAnsi="Times New Roman"/>
                <w:sz w:val="24"/>
              </w:rPr>
              <w:t>项目</w:t>
            </w:r>
            <w:r>
              <w:rPr>
                <w:rFonts w:ascii="Times New Roman" w:hAnsi="Times New Roman"/>
                <w:sz w:val="24"/>
              </w:rPr>
              <w:t>名称</w:t>
            </w:r>
          </w:p>
        </w:tc>
        <w:tc>
          <w:tcPr>
            <w:tcW w:w="2405" w:type="dxa"/>
            <w:noWrap w:val="0"/>
            <w:vAlign w:val="center"/>
          </w:tcPr>
          <w:p>
            <w:pPr>
              <w:jc w:val="center"/>
              <w:rPr>
                <w:rFonts w:hint="default" w:ascii="Times New Roman" w:hAnsi="Times New Roman"/>
                <w:sz w:val="24"/>
                <w:lang w:val="en-US"/>
              </w:rPr>
            </w:pPr>
            <w:r>
              <w:rPr>
                <w:rFonts w:hint="eastAsia" w:ascii="Times New Roman" w:hAnsi="Times New Roman"/>
                <w:sz w:val="24"/>
                <w:lang w:val="en-US" w:eastAsia="zh-CN"/>
              </w:rPr>
              <w:t>品牌型号</w:t>
            </w:r>
          </w:p>
        </w:tc>
        <w:tc>
          <w:tcPr>
            <w:tcW w:w="2406"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3499" w:type="dxa"/>
            <w:noWrap w:val="0"/>
            <w:vAlign w:val="center"/>
          </w:tcPr>
          <w:p>
            <w:pPr>
              <w:jc w:val="center"/>
              <w:rPr>
                <w:rFonts w:hint="default" w:ascii="Times New Roman" w:hAnsi="Times New Roman" w:eastAsia="宋体"/>
                <w:sz w:val="24"/>
                <w:lang w:val="en-US" w:eastAsia="zh-CN"/>
              </w:rPr>
            </w:pPr>
            <w:r>
              <w:rPr>
                <w:rFonts w:hint="eastAsia"/>
                <w:b w:val="0"/>
                <w:bCs w:val="0"/>
                <w:sz w:val="24"/>
                <w:szCs w:val="24"/>
                <w:lang w:val="en-US" w:eastAsia="zh-CN"/>
              </w:rPr>
              <w:t>B型脑钠肽</w:t>
            </w:r>
          </w:p>
        </w:tc>
        <w:tc>
          <w:tcPr>
            <w:tcW w:w="2405" w:type="dxa"/>
            <w:noWrap w:val="0"/>
            <w:vAlign w:val="center"/>
          </w:tcPr>
          <w:p>
            <w:pPr>
              <w:jc w:val="center"/>
              <w:rPr>
                <w:rFonts w:ascii="Times New Roman" w:hAnsi="Times New Roman"/>
                <w:sz w:val="24"/>
              </w:rPr>
            </w:pPr>
          </w:p>
        </w:tc>
        <w:tc>
          <w:tcPr>
            <w:tcW w:w="240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2</w:t>
            </w:r>
          </w:p>
        </w:tc>
        <w:tc>
          <w:tcPr>
            <w:tcW w:w="3499" w:type="dxa"/>
            <w:noWrap w:val="0"/>
            <w:vAlign w:val="center"/>
          </w:tcPr>
          <w:p>
            <w:pPr>
              <w:jc w:val="center"/>
              <w:rPr>
                <w:rFonts w:hint="eastAsia" w:ascii="Times New Roman" w:hAnsi="Times New Roman" w:eastAsia="宋体"/>
                <w:sz w:val="24"/>
                <w:lang w:val="en-US" w:eastAsia="zh-CN"/>
              </w:rPr>
            </w:pPr>
            <w:r>
              <w:rPr>
                <w:rFonts w:hint="eastAsia"/>
                <w:b w:val="0"/>
                <w:bCs w:val="0"/>
                <w:sz w:val="24"/>
                <w:szCs w:val="24"/>
                <w:lang w:val="en-US" w:eastAsia="zh-CN"/>
              </w:rPr>
              <w:t>肌钙蛋白</w:t>
            </w:r>
          </w:p>
        </w:tc>
        <w:tc>
          <w:tcPr>
            <w:tcW w:w="2405" w:type="dxa"/>
            <w:noWrap w:val="0"/>
            <w:vAlign w:val="center"/>
          </w:tcPr>
          <w:p>
            <w:pPr>
              <w:jc w:val="center"/>
              <w:rPr>
                <w:rFonts w:ascii="Times New Roman" w:hAnsi="Times New Roman"/>
                <w:sz w:val="24"/>
              </w:rPr>
            </w:pPr>
          </w:p>
        </w:tc>
        <w:tc>
          <w:tcPr>
            <w:tcW w:w="240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4"/>
            <w:noWrap w:val="0"/>
            <w:vAlign w:val="top"/>
          </w:tcPr>
          <w:p>
            <w:pPr>
              <w:pStyle w:val="3"/>
              <w:rPr>
                <w:rFonts w:hint="default" w:eastAsia="宋体"/>
                <w:lang w:val="en-US" w:eastAsia="zh-CN"/>
              </w:rPr>
            </w:pPr>
            <w:r>
              <w:rPr>
                <w:rFonts w:hint="eastAsia"/>
                <w:lang w:val="en-US" w:eastAsia="zh-CN"/>
              </w:rPr>
              <w:t>*设备报价无需填写。</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05E412AD"/>
    <w:rsid w:val="0A99282A"/>
    <w:rsid w:val="0A9B2F00"/>
    <w:rsid w:val="0ADD6A6C"/>
    <w:rsid w:val="0DBF074A"/>
    <w:rsid w:val="0DDC7DEC"/>
    <w:rsid w:val="0E7C6844"/>
    <w:rsid w:val="0EB00070"/>
    <w:rsid w:val="14A631F6"/>
    <w:rsid w:val="163636D6"/>
    <w:rsid w:val="171929B6"/>
    <w:rsid w:val="1B440A68"/>
    <w:rsid w:val="1C436556"/>
    <w:rsid w:val="1E9525BF"/>
    <w:rsid w:val="26C41CF5"/>
    <w:rsid w:val="26ED542D"/>
    <w:rsid w:val="29E159D7"/>
    <w:rsid w:val="2D67693D"/>
    <w:rsid w:val="2EDC4D1F"/>
    <w:rsid w:val="35B72A71"/>
    <w:rsid w:val="387F2677"/>
    <w:rsid w:val="3CF77889"/>
    <w:rsid w:val="44782D86"/>
    <w:rsid w:val="44A94232"/>
    <w:rsid w:val="4625196C"/>
    <w:rsid w:val="4A922830"/>
    <w:rsid w:val="4CEB2D8A"/>
    <w:rsid w:val="4E4D4129"/>
    <w:rsid w:val="502045C6"/>
    <w:rsid w:val="521712F5"/>
    <w:rsid w:val="53C0404C"/>
    <w:rsid w:val="5D4E286F"/>
    <w:rsid w:val="5EAC39FA"/>
    <w:rsid w:val="69CB4A51"/>
    <w:rsid w:val="6AA956EF"/>
    <w:rsid w:val="6BC53D4C"/>
    <w:rsid w:val="6EDC6689"/>
    <w:rsid w:val="73150BD1"/>
    <w:rsid w:val="7411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2061</Words>
  <Characters>2161</Characters>
  <Lines>0</Lines>
  <Paragraphs>0</Paragraphs>
  <TotalTime>15</TotalTime>
  <ScaleCrop>false</ScaleCrop>
  <LinksUpToDate>false</LinksUpToDate>
  <CharactersWithSpaces>2579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cp:lastPrinted>2023-07-31T08:09:00Z</cp:lastPrinted>
  <dcterms:modified xsi:type="dcterms:W3CDTF">2023-08-01T07:18:05Z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CC6BF735C3534D10BAA88BB8FA25902A_13</vt:lpwstr>
  </property>
</Properties>
</file>