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钙卫蛋白定量检测试剂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sz w:val="24"/>
          <w:szCs w:val="24"/>
          <w:lang w:val="en-US" w:eastAsia="zh-CN"/>
        </w:rPr>
        <w:t>钙卫蛋白定量检测试剂</w:t>
      </w:r>
      <w:r>
        <w:rPr>
          <w:rFonts w:hint="eastAsia" w:ascii="宋体" w:hAnsi="宋体" w:eastAsia="宋体" w:cs="Arial"/>
          <w:sz w:val="24"/>
          <w:szCs w:val="24"/>
        </w:rPr>
        <w:t>进行</w:t>
      </w:r>
      <w:r>
        <w:rPr>
          <w:rFonts w:hint="eastAsia" w:ascii="宋体" w:hAnsi="宋体" w:cs="Arial"/>
          <w:sz w:val="24"/>
          <w:szCs w:val="24"/>
          <w:lang w:val="en-US" w:eastAsia="zh-CN"/>
        </w:rPr>
        <w:t>竞争性磋商</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钙卫蛋白定量检测</w:t>
      </w:r>
      <w:r>
        <w:rPr>
          <w:sz w:val="24"/>
          <w:szCs w:val="24"/>
        </w:rPr>
        <w:t>项目</w:t>
      </w:r>
      <w:r>
        <w:rPr>
          <w:rFonts w:hint="eastAsia"/>
          <w:sz w:val="24"/>
          <w:szCs w:val="24"/>
          <w:lang w:eastAsia="zh-CN"/>
        </w:rPr>
        <w:t>，</w:t>
      </w:r>
      <w:r>
        <w:rPr>
          <w:rFonts w:hint="eastAsia"/>
          <w:sz w:val="24"/>
          <w:szCs w:val="24"/>
          <w:lang w:val="en-US" w:eastAsia="zh-CN"/>
        </w:rPr>
        <w:t>本次需采购钙卫蛋白定量检测试剂和配套检测设备。设备参数需求见下表。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1904"/>
        <w:gridCol w:w="5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序号</w:t>
            </w:r>
          </w:p>
        </w:tc>
        <w:tc>
          <w:tcPr>
            <w:tcW w:w="7128" w:type="dxa"/>
            <w:gridSpan w:val="2"/>
          </w:tcPr>
          <w:p>
            <w:pPr>
              <w:pStyle w:val="12"/>
              <w:bidi w:val="0"/>
              <w:rPr>
                <w:rFonts w:hint="default"/>
                <w:sz w:val="24"/>
                <w:szCs w:val="24"/>
                <w:vertAlign w:val="baseline"/>
                <w:lang w:val="en-US" w:eastAsia="zh-CN"/>
              </w:rPr>
            </w:pPr>
            <w:r>
              <w:rPr>
                <w:rFonts w:hint="eastAsia"/>
                <w:sz w:val="24"/>
                <w:szCs w:val="24"/>
                <w:vertAlign w:val="baseline"/>
                <w:lang w:val="en-US" w:eastAsia="zh-CN"/>
              </w:rPr>
              <w:t>技术参数需求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1</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*方法学</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免疫荧光层析法（定量检测）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2</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*检测时间</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≥80T/h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3</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准确性</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偏差≤±15%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4</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重复性</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重复性变异系数CV≤15%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5</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稳定性</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相对偏差≤±8%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6</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线性范围</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r≥0.99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7</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试剂</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粪便钙卫蛋白、粪便血红蛋白测定试剂盒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8</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*质控</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有配套试剂质控品，有独立注册证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9</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数据存储</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≥10万条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10</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打印</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有打印模块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dxa"/>
          </w:tcPr>
          <w:p>
            <w:pPr>
              <w:pStyle w:val="12"/>
              <w:bidi w:val="0"/>
              <w:rPr>
                <w:rFonts w:hint="default"/>
                <w:sz w:val="24"/>
                <w:szCs w:val="24"/>
                <w:vertAlign w:val="baseline"/>
                <w:lang w:val="en-US" w:eastAsia="zh-CN"/>
              </w:rPr>
            </w:pPr>
            <w:r>
              <w:rPr>
                <w:rFonts w:hint="eastAsia"/>
                <w:sz w:val="24"/>
                <w:szCs w:val="24"/>
                <w:vertAlign w:val="baseline"/>
                <w:lang w:val="en-US" w:eastAsia="zh-CN"/>
              </w:rPr>
              <w:t>11</w:t>
            </w:r>
          </w:p>
        </w:tc>
        <w:tc>
          <w:tcPr>
            <w:tcW w:w="1904" w:type="dxa"/>
          </w:tcPr>
          <w:p>
            <w:pPr>
              <w:pStyle w:val="12"/>
              <w:bidi w:val="0"/>
              <w:rPr>
                <w:rFonts w:hint="default"/>
                <w:sz w:val="24"/>
                <w:szCs w:val="24"/>
                <w:vertAlign w:val="baseline"/>
                <w:lang w:val="en-US" w:eastAsia="zh-CN"/>
              </w:rPr>
            </w:pPr>
            <w:r>
              <w:rPr>
                <w:rFonts w:hint="eastAsia"/>
                <w:sz w:val="24"/>
                <w:szCs w:val="24"/>
                <w:vertAlign w:val="baseline"/>
                <w:lang w:val="en-US" w:eastAsia="zh-CN"/>
              </w:rPr>
              <w:t>数据接口</w:t>
            </w:r>
          </w:p>
        </w:tc>
        <w:tc>
          <w:tcPr>
            <w:tcW w:w="5224" w:type="dxa"/>
          </w:tcPr>
          <w:p>
            <w:pPr>
              <w:pStyle w:val="12"/>
              <w:bidi w:val="0"/>
              <w:rPr>
                <w:rFonts w:hint="default"/>
                <w:sz w:val="24"/>
                <w:szCs w:val="24"/>
                <w:vertAlign w:val="baseline"/>
                <w:lang w:val="en-US" w:eastAsia="zh-CN"/>
              </w:rPr>
            </w:pPr>
            <w:r>
              <w:rPr>
                <w:rFonts w:hint="eastAsia"/>
                <w:sz w:val="24"/>
                <w:szCs w:val="24"/>
                <w:vertAlign w:val="baseline"/>
                <w:lang w:val="en-US" w:eastAsia="zh-CN"/>
              </w:rPr>
              <w:t>可与医院LIS系统等对接</w:t>
            </w:r>
          </w:p>
        </w:tc>
      </w:tr>
    </w:tbl>
    <w:p>
      <w:pPr>
        <w:pStyle w:val="12"/>
        <w:bidi w:val="0"/>
        <w:rPr>
          <w:rFonts w:hint="eastAsia"/>
          <w:sz w:val="24"/>
          <w:szCs w:val="24"/>
          <w:lang w:val="en-US" w:eastAsia="zh-CN"/>
        </w:rPr>
      </w:pP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left="0" w:leftChars="0" w:firstLine="482" w:firstLineChars="200"/>
        <w:jc w:val="left"/>
        <w:textAlignment w:val="auto"/>
        <w:rPr>
          <w:rFonts w:ascii="新宋体" w:hAnsi="新宋体" w:eastAsia="新宋体"/>
          <w:b w:val="0"/>
          <w:bCs w:val="0"/>
          <w:sz w:val="24"/>
          <w:szCs w:val="24"/>
        </w:rPr>
      </w:pPr>
      <w:r>
        <w:rPr>
          <w:rFonts w:hint="eastAsia" w:ascii="新宋体" w:hAnsi="新宋体" w:eastAsia="新宋体"/>
          <w:b/>
          <w:bCs/>
          <w:sz w:val="24"/>
          <w:szCs w:val="24"/>
        </w:rPr>
        <w:t>采购方式：</w:t>
      </w:r>
      <w:r>
        <w:rPr>
          <w:rFonts w:hint="eastAsia" w:ascii="新宋体" w:hAnsi="新宋体" w:eastAsia="新宋体"/>
          <w:b w:val="0"/>
          <w:bCs w:val="0"/>
          <w:sz w:val="24"/>
          <w:szCs w:val="24"/>
          <w:lang w:val="en-US" w:eastAsia="zh-CN"/>
        </w:rPr>
        <w:t>竞争性磋商</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eastAsia="新宋体"/>
          <w:sz w:val="24"/>
          <w:szCs w:val="24"/>
          <w:lang w:val="en-US" w:eastAsia="zh-CN"/>
        </w:rPr>
        <w:t>钙卫蛋白定量检测试剂32元</w:t>
      </w:r>
      <w:r>
        <w:rPr>
          <w:rFonts w:hint="eastAsia" w:ascii="新宋体" w:hAnsi="新宋体" w:eastAsia="新宋体"/>
          <w:b w:val="0"/>
          <w:bCs w:val="0"/>
          <w:sz w:val="24"/>
          <w:szCs w:val="24"/>
          <w:lang w:val="en-US" w:eastAsia="zh-CN"/>
        </w:rPr>
        <w:t>/T。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w:t>
      </w:r>
      <w:r>
        <w:rPr>
          <w:rFonts w:hint="eastAsia" w:ascii="宋体" w:hAnsi="宋体" w:eastAsia="宋体"/>
          <w:sz w:val="24"/>
          <w:szCs w:val="24"/>
          <w:lang w:val="en-US" w:eastAsia="zh-CN"/>
        </w:rPr>
        <w:t>说明书</w:t>
      </w:r>
      <w:r>
        <w:rPr>
          <w:rFonts w:hint="eastAsia" w:asciiTheme="minorEastAsia" w:hAnsiTheme="minorEastAsia" w:eastAsiaTheme="minorEastAsia" w:cstheme="minorEastAsia"/>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lang w:val="en-US" w:eastAsia="zh-CN"/>
        </w:rPr>
        <w:t>8、设备终身质保，配件免费更换，售后服务电话可24h响应。</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五、评分细则</w:t>
      </w:r>
    </w:p>
    <w:tbl>
      <w:tblPr>
        <w:tblStyle w:val="8"/>
        <w:tblW w:w="92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869"/>
        <w:gridCol w:w="5103"/>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08"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评审内容</w:t>
            </w:r>
          </w:p>
        </w:tc>
        <w:tc>
          <w:tcPr>
            <w:tcW w:w="869"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满分值</w:t>
            </w:r>
          </w:p>
        </w:tc>
        <w:tc>
          <w:tcPr>
            <w:tcW w:w="5103"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评审细则</w:t>
            </w:r>
          </w:p>
        </w:tc>
        <w:tc>
          <w:tcPr>
            <w:tcW w:w="1188" w:type="dxa"/>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color w:val="000000"/>
                <w:sz w:val="21"/>
                <w:szCs w:val="21"/>
                <w:lang w:val="en-US" w:eastAsia="zh-CN"/>
              </w:rPr>
              <w:t>（一）技术因素（60分）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108" w:type="dxa"/>
            <w:noWrap w:val="0"/>
            <w:vAlign w:val="top"/>
          </w:tcPr>
          <w:p>
            <w:pPr>
              <w:spacing w:line="360" w:lineRule="auto"/>
              <w:rPr>
                <w:rFonts w:ascii="宋体" w:hAnsi="宋体"/>
                <w:b w:val="0"/>
                <w:bCs/>
                <w:szCs w:val="21"/>
              </w:rPr>
            </w:pPr>
            <w:r>
              <w:rPr>
                <w:rFonts w:hint="eastAsia" w:ascii="宋体" w:hAnsi="宋体"/>
                <w:b w:val="0"/>
                <w:bCs/>
                <w:szCs w:val="21"/>
              </w:rPr>
              <w:t>1.1基础</w:t>
            </w:r>
            <w:r>
              <w:rPr>
                <w:rFonts w:hint="eastAsia" w:ascii="宋体" w:hAnsi="宋体"/>
                <w:b w:val="0"/>
                <w:bCs/>
                <w:szCs w:val="21"/>
                <w:lang w:val="en-US" w:eastAsia="zh-CN"/>
              </w:rPr>
              <w:t>要求</w:t>
            </w:r>
          </w:p>
        </w:tc>
        <w:tc>
          <w:tcPr>
            <w:tcW w:w="869" w:type="dxa"/>
            <w:noWrap w:val="0"/>
            <w:vAlign w:val="top"/>
          </w:tcPr>
          <w:p>
            <w:pPr>
              <w:pStyle w:val="4"/>
              <w:jc w:val="center"/>
              <w:rPr>
                <w:rFonts w:hint="default" w:ascii="宋体" w:hAnsi="??_GB2312" w:cs="宋体"/>
                <w:b w:val="0"/>
                <w:bCs/>
                <w:kern w:val="0"/>
                <w:sz w:val="21"/>
                <w:szCs w:val="21"/>
                <w:lang w:val="en-US" w:eastAsia="zh-CN"/>
              </w:rPr>
            </w:pPr>
            <w:r>
              <w:rPr>
                <w:rFonts w:hint="eastAsia" w:ascii="宋体" w:hAnsi="??_GB2312" w:cs="宋体"/>
                <w:b w:val="0"/>
                <w:bCs/>
                <w:kern w:val="0"/>
                <w:sz w:val="21"/>
                <w:szCs w:val="21"/>
                <w:lang w:val="en-US" w:eastAsia="zh-CN"/>
              </w:rPr>
              <w:t>/</w:t>
            </w:r>
          </w:p>
        </w:tc>
        <w:tc>
          <w:tcPr>
            <w:tcW w:w="5103" w:type="dxa"/>
            <w:noWrap w:val="0"/>
            <w:vAlign w:val="top"/>
          </w:tcPr>
          <w:p>
            <w:pPr>
              <w:autoSpaceDE w:val="0"/>
              <w:autoSpaceDN w:val="0"/>
              <w:adjustRightInd w:val="0"/>
              <w:rPr>
                <w:rFonts w:ascii="宋体" w:hAnsi="??_GB2312" w:cs="宋体"/>
                <w:b w:val="0"/>
                <w:bCs/>
                <w:kern w:val="0"/>
                <w:szCs w:val="21"/>
              </w:rPr>
            </w:pPr>
            <w:r>
              <w:rPr>
                <w:rFonts w:hint="eastAsia" w:ascii="宋体" w:hAnsi="??_GB2312" w:cs="宋体"/>
                <w:b w:val="0"/>
                <w:bCs/>
                <w:kern w:val="0"/>
                <w:szCs w:val="21"/>
              </w:rPr>
              <w:t>投标商</w:t>
            </w:r>
            <w:r>
              <w:rPr>
                <w:rFonts w:hint="eastAsia" w:ascii="宋体" w:hAnsi="??_GB2312" w:cs="宋体"/>
                <w:b w:val="0"/>
                <w:bCs/>
                <w:kern w:val="0"/>
                <w:szCs w:val="21"/>
                <w:lang w:val="en-US" w:eastAsia="zh-CN"/>
              </w:rPr>
              <w:t>需</w:t>
            </w:r>
            <w:r>
              <w:rPr>
                <w:rFonts w:hint="eastAsia" w:ascii="宋体" w:hAnsi="??_GB2312" w:cs="宋体"/>
                <w:b w:val="0"/>
                <w:bCs/>
                <w:kern w:val="0"/>
                <w:szCs w:val="21"/>
              </w:rPr>
              <w:t>提供销售产品的相关授权，无相关授权</w:t>
            </w:r>
            <w:r>
              <w:rPr>
                <w:rFonts w:hint="eastAsia" w:ascii="宋体" w:hAnsi="??_GB2312" w:cs="宋体"/>
                <w:b w:val="0"/>
                <w:bCs/>
                <w:kern w:val="0"/>
                <w:szCs w:val="21"/>
                <w:lang w:val="en-US" w:eastAsia="zh-CN"/>
              </w:rPr>
              <w:t>视为无效标</w:t>
            </w:r>
            <w:r>
              <w:rPr>
                <w:rFonts w:hint="eastAsia" w:ascii="宋体" w:hAnsi="??_GB2312" w:cs="宋体"/>
                <w:b w:val="0"/>
                <w:bCs/>
                <w:kern w:val="0"/>
                <w:szCs w:val="21"/>
              </w:rPr>
              <w:t>。</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2.质量保障（以下所有条目需提供相应的证明文件，并盖章）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2.1 浙江</w:t>
            </w:r>
            <w:r>
              <w:rPr>
                <w:rFonts w:ascii="宋体" w:hAnsi="宋体"/>
                <w:b w:val="0"/>
                <w:bCs/>
                <w:szCs w:val="21"/>
              </w:rPr>
              <w:t>省</w:t>
            </w:r>
            <w:r>
              <w:rPr>
                <w:rFonts w:hint="eastAsia" w:ascii="宋体" w:hAnsi="宋体"/>
                <w:b w:val="0"/>
                <w:bCs/>
                <w:szCs w:val="21"/>
              </w:rPr>
              <w:t>内</w:t>
            </w:r>
            <w:r>
              <w:rPr>
                <w:rFonts w:ascii="宋体" w:hAnsi="宋体"/>
                <w:b w:val="0"/>
                <w:bCs/>
                <w:szCs w:val="21"/>
              </w:rPr>
              <w:t>三甲医院</w:t>
            </w:r>
            <w:r>
              <w:rPr>
                <w:rFonts w:hint="eastAsia" w:ascii="宋体" w:hAnsi="宋体"/>
                <w:b w:val="0"/>
                <w:bCs/>
                <w:szCs w:val="21"/>
              </w:rPr>
              <w:t>使用情况</w:t>
            </w:r>
          </w:p>
        </w:tc>
        <w:tc>
          <w:tcPr>
            <w:tcW w:w="869" w:type="dxa"/>
            <w:shd w:val="clear" w:color="auto" w:fill="FFFFFF"/>
            <w:noWrap w:val="0"/>
            <w:vAlign w:val="top"/>
          </w:tcPr>
          <w:p>
            <w:pPr>
              <w:pStyle w:val="4"/>
              <w:jc w:val="center"/>
              <w:rPr>
                <w:rFonts w:ascii="宋体" w:hAnsi="宋体"/>
                <w:b w:val="0"/>
                <w:bCs/>
                <w:sz w:val="21"/>
                <w:szCs w:val="21"/>
                <w:lang w:val="en-US" w:eastAsia="zh-CN"/>
              </w:rPr>
            </w:pPr>
            <w:r>
              <w:rPr>
                <w:rFonts w:hint="eastAsia" w:ascii="宋体" w:hAnsi="宋体"/>
                <w:b w:val="0"/>
                <w:bCs/>
                <w:sz w:val="21"/>
                <w:szCs w:val="21"/>
                <w:lang w:val="en-US" w:eastAsia="zh-CN"/>
              </w:rPr>
              <w:t>5</w:t>
            </w:r>
          </w:p>
        </w:tc>
        <w:tc>
          <w:tcPr>
            <w:tcW w:w="5103" w:type="dxa"/>
            <w:shd w:val="clear" w:color="auto" w:fill="FFFFFF"/>
            <w:noWrap w:val="0"/>
            <w:vAlign w:val="top"/>
          </w:tcPr>
          <w:p>
            <w:pPr>
              <w:spacing w:line="360" w:lineRule="auto"/>
              <w:rPr>
                <w:rFonts w:hint="eastAsia" w:eastAsia="宋体"/>
                <w:b w:val="0"/>
                <w:bCs/>
                <w:lang w:eastAsia="zh-CN"/>
              </w:rPr>
            </w:pPr>
            <w:r>
              <w:rPr>
                <w:rFonts w:hint="eastAsia"/>
                <w:b w:val="0"/>
                <w:bCs/>
              </w:rPr>
              <w:t>三甲</w:t>
            </w:r>
            <w:r>
              <w:rPr>
                <w:b w:val="0"/>
                <w:bCs/>
              </w:rPr>
              <w:t>医院</w:t>
            </w:r>
            <w:r>
              <w:rPr>
                <w:rFonts w:hint="eastAsia"/>
                <w:b w:val="0"/>
                <w:bCs/>
              </w:rPr>
              <w:t>≥</w:t>
            </w:r>
            <w:r>
              <w:rPr>
                <w:rFonts w:hint="eastAsia"/>
                <w:b w:val="0"/>
                <w:bCs/>
                <w:lang w:val="en-US" w:eastAsia="zh-CN"/>
              </w:rPr>
              <w:t>10</w:t>
            </w:r>
            <w:r>
              <w:rPr>
                <w:rFonts w:hint="eastAsia"/>
                <w:b w:val="0"/>
                <w:bCs/>
              </w:rPr>
              <w:t>家</w:t>
            </w:r>
            <w:r>
              <w:rPr>
                <w:b w:val="0"/>
                <w:bCs/>
              </w:rPr>
              <w:t>的得</w:t>
            </w:r>
            <w:r>
              <w:rPr>
                <w:rFonts w:hint="eastAsia"/>
                <w:b w:val="0"/>
                <w:bCs/>
                <w:lang w:val="en-US" w:eastAsia="zh-CN"/>
              </w:rPr>
              <w:t>5</w:t>
            </w:r>
            <w:r>
              <w:rPr>
                <w:rFonts w:hint="eastAsia"/>
                <w:b w:val="0"/>
                <w:bCs/>
              </w:rPr>
              <w:t>分</w:t>
            </w:r>
            <w:r>
              <w:rPr>
                <w:rFonts w:hint="eastAsia"/>
                <w:b w:val="0"/>
                <w:bCs/>
                <w:lang w:eastAsia="zh-CN"/>
              </w:rPr>
              <w:t>；</w:t>
            </w:r>
            <w:r>
              <w:rPr>
                <w:rFonts w:hint="eastAsia"/>
                <w:b w:val="0"/>
                <w:bCs/>
              </w:rPr>
              <w:t>三甲</w:t>
            </w:r>
            <w:r>
              <w:rPr>
                <w:b w:val="0"/>
                <w:bCs/>
              </w:rPr>
              <w:t>医院</w:t>
            </w:r>
            <w:r>
              <w:rPr>
                <w:rFonts w:hint="eastAsia"/>
                <w:b w:val="0"/>
                <w:bCs/>
              </w:rPr>
              <w:t>≥</w:t>
            </w:r>
            <w:r>
              <w:rPr>
                <w:rFonts w:hint="eastAsia"/>
                <w:b w:val="0"/>
                <w:bCs/>
                <w:lang w:val="en-US" w:eastAsia="zh-CN"/>
              </w:rPr>
              <w:t>5</w:t>
            </w:r>
            <w:r>
              <w:rPr>
                <w:rFonts w:hint="eastAsia"/>
                <w:b w:val="0"/>
                <w:bCs/>
              </w:rPr>
              <w:t>家</w:t>
            </w:r>
            <w:r>
              <w:rPr>
                <w:b w:val="0"/>
                <w:bCs/>
              </w:rPr>
              <w:t>的得</w:t>
            </w:r>
            <w:r>
              <w:rPr>
                <w:rFonts w:hint="eastAsia"/>
                <w:b w:val="0"/>
                <w:bCs/>
                <w:lang w:val="en-US" w:eastAsia="zh-CN"/>
              </w:rPr>
              <w:t>3</w:t>
            </w:r>
            <w:r>
              <w:rPr>
                <w:rFonts w:hint="eastAsia"/>
                <w:b w:val="0"/>
                <w:bCs/>
              </w:rPr>
              <w:t>分；三甲</w:t>
            </w:r>
            <w:r>
              <w:rPr>
                <w:b w:val="0"/>
                <w:bCs/>
              </w:rPr>
              <w:t>医院</w:t>
            </w:r>
            <w:r>
              <w:rPr>
                <w:rFonts w:hint="eastAsia"/>
                <w:b w:val="0"/>
                <w:bCs/>
              </w:rPr>
              <w:t>&lt;</w:t>
            </w:r>
            <w:r>
              <w:rPr>
                <w:rFonts w:hint="eastAsia"/>
                <w:b w:val="0"/>
                <w:bCs/>
                <w:lang w:val="en-US" w:eastAsia="zh-CN"/>
              </w:rPr>
              <w:t>5</w:t>
            </w:r>
            <w:r>
              <w:rPr>
                <w:rFonts w:hint="eastAsia"/>
                <w:b w:val="0"/>
                <w:bCs/>
              </w:rPr>
              <w:t>家</w:t>
            </w:r>
            <w:r>
              <w:rPr>
                <w:b w:val="0"/>
                <w:bCs/>
              </w:rPr>
              <w:t>的得0-</w:t>
            </w:r>
            <w:r>
              <w:rPr>
                <w:rFonts w:hint="eastAsia"/>
                <w:b w:val="0"/>
                <w:bCs/>
                <w:lang w:val="en-US" w:eastAsia="zh-CN"/>
              </w:rPr>
              <w:t>2</w:t>
            </w:r>
            <w:r>
              <w:rPr>
                <w:rFonts w:hint="eastAsia"/>
                <w:b w:val="0"/>
                <w:bCs/>
              </w:rPr>
              <w:t>分</w:t>
            </w:r>
            <w:r>
              <w:rPr>
                <w:rFonts w:hint="eastAsia"/>
                <w:b w:val="0"/>
                <w:bCs/>
                <w:lang w:eastAsia="zh-CN"/>
              </w:rPr>
              <w:t>。</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2.2配送服务</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5</w:t>
            </w:r>
          </w:p>
        </w:tc>
        <w:tc>
          <w:tcPr>
            <w:tcW w:w="5103" w:type="dxa"/>
            <w:shd w:val="clear" w:color="auto" w:fill="FFFFFF"/>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冷链运输：具备冷链配送承诺的得2分，无冷链配送的0分。到货时间：3天以内得3分，</w:t>
            </w:r>
            <w:r>
              <w:rPr>
                <w:rFonts w:ascii="宋体" w:hAnsi="宋体"/>
                <w:b w:val="0"/>
                <w:bCs/>
                <w:sz w:val="21"/>
                <w:szCs w:val="21"/>
                <w:lang w:val="en-US" w:eastAsia="zh-CN"/>
              </w:rPr>
              <w:t>4-6</w:t>
            </w:r>
            <w:r>
              <w:rPr>
                <w:rFonts w:hint="eastAsia" w:ascii="宋体" w:hAnsi="宋体"/>
                <w:b w:val="0"/>
                <w:bCs/>
                <w:sz w:val="21"/>
                <w:szCs w:val="21"/>
                <w:lang w:val="en-US" w:eastAsia="zh-CN"/>
              </w:rPr>
              <w:t>天得1-2分，7天以上得0分。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2.3售后服务</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8</w:t>
            </w:r>
          </w:p>
        </w:tc>
        <w:tc>
          <w:tcPr>
            <w:tcW w:w="5103" w:type="dxa"/>
            <w:shd w:val="clear" w:color="auto" w:fill="FFFFFF"/>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投标商须提出中标后全面的服务方案，根据医院要求酌情给0-8分。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hint="eastAsia" w:ascii="宋体" w:hAnsi="宋体"/>
                <w:b w:val="0"/>
                <w:bCs/>
                <w:szCs w:val="21"/>
              </w:rPr>
            </w:pPr>
            <w:r>
              <w:rPr>
                <w:rFonts w:hint="eastAsia" w:ascii="宋体" w:hAnsi="宋体"/>
                <w:b w:val="0"/>
                <w:bCs/>
                <w:szCs w:val="21"/>
              </w:rPr>
              <w:t xml:space="preserve">2.4 </w:t>
            </w:r>
            <w:r>
              <w:rPr>
                <w:rFonts w:hint="eastAsia" w:ascii="宋体" w:hAnsi="宋体"/>
                <w:b w:val="0"/>
                <w:bCs/>
                <w:szCs w:val="21"/>
                <w:lang w:val="en-US" w:eastAsia="zh-CN"/>
              </w:rPr>
              <w:t>设备</w:t>
            </w:r>
            <w:r>
              <w:rPr>
                <w:rFonts w:hint="eastAsia" w:ascii="宋体" w:hAnsi="宋体"/>
                <w:b w:val="0"/>
                <w:bCs/>
                <w:szCs w:val="21"/>
              </w:rPr>
              <w:t>综合评价</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22</w:t>
            </w:r>
          </w:p>
        </w:tc>
        <w:tc>
          <w:tcPr>
            <w:tcW w:w="5103" w:type="dxa"/>
            <w:shd w:val="clear" w:color="auto" w:fill="FFFFFF"/>
            <w:noWrap w:val="0"/>
            <w:vAlign w:val="top"/>
          </w:tcPr>
          <w:p>
            <w:pPr>
              <w:pStyle w:val="4"/>
              <w:rPr>
                <w:rFonts w:hint="default" w:ascii="宋体" w:hAnsi="宋体"/>
                <w:b w:val="0"/>
                <w:bCs/>
                <w:sz w:val="21"/>
                <w:szCs w:val="21"/>
                <w:lang w:val="en-US" w:eastAsia="zh-CN"/>
              </w:rPr>
            </w:pPr>
            <w:r>
              <w:rPr>
                <w:rFonts w:hint="eastAsia" w:ascii="宋体" w:hAnsi="宋体"/>
                <w:b w:val="0"/>
                <w:bCs/>
                <w:sz w:val="21"/>
                <w:szCs w:val="21"/>
                <w:lang w:val="en-US" w:eastAsia="zh-CN"/>
              </w:rPr>
              <w:t>对检测设备技术功能的先进性、易用性、运行可靠性等横向比较，进行打分。临床需求的技术参数，每满足一条得2分，不满足不得分。</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8" w:type="dxa"/>
            <w:shd w:val="clear" w:color="auto" w:fill="FFFFFF"/>
            <w:noWrap w:val="0"/>
            <w:vAlign w:val="top"/>
          </w:tcPr>
          <w:p>
            <w:pPr>
              <w:spacing w:line="360" w:lineRule="auto"/>
              <w:rPr>
                <w:rFonts w:ascii="宋体" w:hAnsi="宋体"/>
                <w:b w:val="0"/>
                <w:bCs/>
                <w:szCs w:val="21"/>
              </w:rPr>
            </w:pPr>
            <w:r>
              <w:rPr>
                <w:rFonts w:hint="eastAsia" w:ascii="宋体" w:hAnsi="宋体"/>
                <w:b w:val="0"/>
                <w:bCs/>
                <w:szCs w:val="21"/>
              </w:rPr>
              <w:t>2.</w:t>
            </w:r>
            <w:r>
              <w:rPr>
                <w:rFonts w:hint="eastAsia" w:ascii="宋体" w:hAnsi="宋体"/>
                <w:b w:val="0"/>
                <w:bCs/>
                <w:szCs w:val="21"/>
                <w:lang w:val="en-US" w:eastAsia="zh-CN"/>
              </w:rPr>
              <w:t>5</w:t>
            </w:r>
            <w:r>
              <w:rPr>
                <w:rFonts w:hint="eastAsia" w:ascii="宋体" w:hAnsi="宋体"/>
                <w:b w:val="0"/>
                <w:bCs/>
                <w:szCs w:val="21"/>
              </w:rPr>
              <w:t xml:space="preserve"> </w:t>
            </w:r>
            <w:r>
              <w:rPr>
                <w:rFonts w:hint="eastAsia" w:ascii="宋体" w:hAnsi="宋体"/>
                <w:b w:val="0"/>
                <w:bCs/>
                <w:szCs w:val="21"/>
                <w:lang w:val="en-US" w:eastAsia="zh-CN"/>
              </w:rPr>
              <w:t>试剂</w:t>
            </w:r>
            <w:r>
              <w:rPr>
                <w:rFonts w:hint="eastAsia" w:ascii="宋体" w:hAnsi="宋体"/>
                <w:b w:val="0"/>
                <w:bCs/>
                <w:szCs w:val="21"/>
              </w:rPr>
              <w:t>综合评价</w:t>
            </w:r>
          </w:p>
        </w:tc>
        <w:tc>
          <w:tcPr>
            <w:tcW w:w="869" w:type="dxa"/>
            <w:shd w:val="clear" w:color="auto" w:fill="FFFFFF"/>
            <w:noWrap w:val="0"/>
            <w:vAlign w:val="top"/>
          </w:tcPr>
          <w:p>
            <w:pPr>
              <w:pStyle w:val="4"/>
              <w:jc w:val="center"/>
              <w:rPr>
                <w:rFonts w:hint="default" w:ascii="宋体" w:hAnsi="宋体"/>
                <w:b w:val="0"/>
                <w:bCs/>
                <w:sz w:val="21"/>
                <w:szCs w:val="21"/>
                <w:lang w:val="en-US" w:eastAsia="zh-CN"/>
              </w:rPr>
            </w:pPr>
            <w:r>
              <w:rPr>
                <w:rFonts w:hint="eastAsia" w:ascii="宋体" w:hAnsi="宋体"/>
                <w:b w:val="0"/>
                <w:bCs/>
                <w:sz w:val="21"/>
                <w:szCs w:val="21"/>
                <w:lang w:val="en-US" w:eastAsia="zh-CN"/>
              </w:rPr>
              <w:t>20</w:t>
            </w:r>
          </w:p>
        </w:tc>
        <w:tc>
          <w:tcPr>
            <w:tcW w:w="5103" w:type="dxa"/>
            <w:shd w:val="clear" w:color="auto" w:fill="FFFFFF"/>
            <w:noWrap w:val="0"/>
            <w:vAlign w:val="top"/>
          </w:tcPr>
          <w:p>
            <w:pPr>
              <w:pStyle w:val="4"/>
              <w:rPr>
                <w:rFonts w:hint="default" w:ascii="宋体" w:hAnsi="宋体"/>
                <w:b w:val="0"/>
                <w:bCs/>
                <w:sz w:val="21"/>
                <w:szCs w:val="21"/>
                <w:lang w:val="en-US" w:eastAsia="zh-CN"/>
              </w:rPr>
            </w:pPr>
            <w:r>
              <w:rPr>
                <w:rFonts w:hint="eastAsia" w:ascii="宋体" w:hAnsi="宋体"/>
                <w:b w:val="0"/>
                <w:bCs/>
                <w:sz w:val="21"/>
                <w:szCs w:val="21"/>
                <w:lang w:val="en-US" w:eastAsia="zh-CN"/>
              </w:rPr>
              <w:t>对投标试剂产品方法学的先进性、质量的稳定性、运行结果可靠性横向比较，进行排名打分。在所有有效投标单位中列第一名的得</w:t>
            </w:r>
            <w:r>
              <w:rPr>
                <w:rFonts w:ascii="宋体" w:hAnsi="宋体"/>
                <w:b w:val="0"/>
                <w:bCs/>
                <w:sz w:val="21"/>
                <w:szCs w:val="21"/>
                <w:lang w:val="en-US" w:eastAsia="zh-CN"/>
              </w:rPr>
              <w:t>2</w:t>
            </w:r>
            <w:r>
              <w:rPr>
                <w:rFonts w:hint="eastAsia" w:ascii="宋体" w:hAnsi="宋体"/>
                <w:b w:val="0"/>
                <w:bCs/>
                <w:sz w:val="21"/>
                <w:szCs w:val="21"/>
                <w:lang w:val="en-US" w:eastAsia="zh-CN"/>
              </w:rPr>
              <w:t>0分，第二名的得</w:t>
            </w:r>
            <w:r>
              <w:rPr>
                <w:rFonts w:ascii="宋体" w:hAnsi="宋体"/>
                <w:b w:val="0"/>
                <w:bCs/>
                <w:sz w:val="21"/>
                <w:szCs w:val="21"/>
                <w:lang w:val="en-US" w:eastAsia="zh-CN"/>
              </w:rPr>
              <w:t>15</w:t>
            </w:r>
            <w:r>
              <w:rPr>
                <w:rFonts w:hint="eastAsia" w:ascii="宋体" w:hAnsi="宋体"/>
                <w:b w:val="0"/>
                <w:bCs/>
                <w:sz w:val="21"/>
                <w:szCs w:val="21"/>
                <w:lang w:val="en-US" w:eastAsia="zh-CN"/>
              </w:rPr>
              <w:t>分，第三名的得</w:t>
            </w:r>
            <w:r>
              <w:rPr>
                <w:rFonts w:ascii="宋体" w:hAnsi="宋体"/>
                <w:b w:val="0"/>
                <w:bCs/>
                <w:sz w:val="21"/>
                <w:szCs w:val="21"/>
                <w:lang w:val="en-US" w:eastAsia="zh-CN"/>
              </w:rPr>
              <w:t>10</w:t>
            </w:r>
            <w:r>
              <w:rPr>
                <w:rFonts w:hint="eastAsia" w:ascii="宋体" w:hAnsi="宋体"/>
                <w:b w:val="0"/>
                <w:bCs/>
                <w:sz w:val="21"/>
                <w:szCs w:val="21"/>
                <w:lang w:val="en-US" w:eastAsia="zh-CN"/>
              </w:rPr>
              <w:t>分，第四名及以后的酌情打分</w:t>
            </w:r>
            <w:r>
              <w:rPr>
                <w:rFonts w:ascii="宋体" w:hAnsi="宋体"/>
                <w:b w:val="0"/>
                <w:bCs/>
                <w:sz w:val="21"/>
                <w:szCs w:val="21"/>
                <w:lang w:val="en-US" w:eastAsia="zh-CN"/>
              </w:rPr>
              <w:t>0-8</w:t>
            </w:r>
            <w:r>
              <w:rPr>
                <w:rFonts w:hint="eastAsia" w:ascii="宋体" w:hAnsi="宋体"/>
                <w:b w:val="0"/>
                <w:bCs/>
                <w:sz w:val="21"/>
                <w:szCs w:val="21"/>
                <w:lang w:val="en-US" w:eastAsia="zh-CN"/>
              </w:rPr>
              <w:t>分，不同供应商之间名次可并列且不影响后续供应商排名。</w:t>
            </w: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268" w:type="dxa"/>
            <w:gridSpan w:val="4"/>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（二）价格因素（40分）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108" w:type="dxa"/>
            <w:noWrap w:val="0"/>
            <w:vAlign w:val="top"/>
          </w:tcPr>
          <w:p>
            <w:pPr>
              <w:spacing w:line="360" w:lineRule="auto"/>
              <w:rPr>
                <w:rFonts w:ascii="宋体" w:hAnsi="宋体"/>
                <w:b w:val="0"/>
                <w:bCs/>
                <w:szCs w:val="21"/>
              </w:rPr>
            </w:pPr>
            <w:r>
              <w:rPr>
                <w:rFonts w:hint="eastAsia" w:ascii="宋体" w:hAnsi="宋体"/>
                <w:b w:val="0"/>
                <w:bCs/>
                <w:szCs w:val="21"/>
              </w:rPr>
              <w:t>价格分（如有多项报价以医院使用量前三的项目作为投标评分标准）</w:t>
            </w:r>
          </w:p>
        </w:tc>
        <w:tc>
          <w:tcPr>
            <w:tcW w:w="869" w:type="dxa"/>
            <w:noWrap w:val="0"/>
            <w:vAlign w:val="top"/>
          </w:tcPr>
          <w:p>
            <w:pPr>
              <w:pStyle w:val="4"/>
              <w:ind w:firstLine="210" w:firstLineChars="100"/>
              <w:rPr>
                <w:rFonts w:hint="default" w:ascii="宋体" w:hAnsi="宋体"/>
                <w:b w:val="0"/>
                <w:bCs/>
                <w:sz w:val="21"/>
                <w:szCs w:val="21"/>
                <w:lang w:val="en-US" w:eastAsia="zh-CN"/>
              </w:rPr>
            </w:pPr>
            <w:r>
              <w:rPr>
                <w:rFonts w:hint="eastAsia" w:ascii="宋体" w:hAnsi="宋体"/>
                <w:b w:val="0"/>
                <w:bCs/>
                <w:sz w:val="21"/>
                <w:szCs w:val="21"/>
                <w:lang w:val="en-US" w:eastAsia="zh-CN"/>
              </w:rPr>
              <w:t>40</w:t>
            </w:r>
          </w:p>
        </w:tc>
        <w:tc>
          <w:tcPr>
            <w:tcW w:w="5103" w:type="dxa"/>
            <w:noWrap w:val="0"/>
            <w:vAlign w:val="top"/>
          </w:tcPr>
          <w:p>
            <w:pPr>
              <w:autoSpaceDE w:val="0"/>
              <w:autoSpaceDN w:val="0"/>
              <w:adjustRightInd w:val="0"/>
            </w:pPr>
            <w:r>
              <w:t>满足招标文件要求且</w:t>
            </w:r>
            <w:r>
              <w:rPr>
                <w:rFonts w:hint="eastAsia"/>
                <w:lang w:val="en-US" w:eastAsia="zh-CN"/>
              </w:rPr>
              <w:t>单项试剂</w:t>
            </w:r>
            <w:r>
              <w:rPr>
                <w:rFonts w:hint="eastAsia"/>
              </w:rPr>
              <w:t>价格</w:t>
            </w:r>
            <w:r>
              <w:t>最低的投标</w:t>
            </w:r>
            <w:r>
              <w:rPr>
                <w:rFonts w:hint="eastAsia"/>
              </w:rPr>
              <w:t>商</w:t>
            </w:r>
            <w:r>
              <w:t>的</w:t>
            </w:r>
            <w:r>
              <w:rPr>
                <w:rFonts w:hint="eastAsia"/>
              </w:rPr>
              <w:t>价格</w:t>
            </w:r>
            <w:r>
              <w:t>为</w:t>
            </w:r>
            <w:r>
              <w:rPr>
                <w:rFonts w:hint="eastAsia"/>
                <w:lang w:val="en-US" w:eastAsia="zh-CN"/>
              </w:rPr>
              <w:t>该项试剂</w:t>
            </w:r>
            <w:r>
              <w:t>评标基准价，其</w:t>
            </w:r>
            <w:r>
              <w:rPr>
                <w:rFonts w:hint="eastAsia"/>
                <w:lang w:val="en-US" w:eastAsia="zh-CN"/>
              </w:rPr>
              <w:t>报价</w:t>
            </w:r>
            <w:r>
              <w:t>为</w:t>
            </w:r>
            <w:r>
              <w:rPr>
                <w:rFonts w:hint="eastAsia"/>
                <w:lang w:val="en-US" w:eastAsia="zh-CN"/>
              </w:rPr>
              <w:t>本次投标该项试剂的基准分40</w:t>
            </w:r>
            <w:r>
              <w:t>分。其他投标人的报价得分统一按照下列公式计算：</w:t>
            </w:r>
          </w:p>
          <w:p>
            <w:pPr>
              <w:spacing w:line="360" w:lineRule="auto"/>
            </w:pPr>
            <w:r>
              <w:rPr>
                <w:rFonts w:hint="eastAsia"/>
                <w:lang w:val="en-US" w:eastAsia="zh-CN"/>
              </w:rPr>
              <w:t>试剂</w:t>
            </w:r>
            <w:r>
              <w:t>报价得分＝（</w:t>
            </w:r>
            <w:r>
              <w:rPr>
                <w:rFonts w:hint="eastAsia"/>
                <w:lang w:val="en-US" w:eastAsia="zh-CN"/>
              </w:rPr>
              <w:t>试剂</w:t>
            </w:r>
            <w:r>
              <w:t>基准</w:t>
            </w:r>
            <w:r>
              <w:rPr>
                <w:rFonts w:hint="eastAsia"/>
                <w:lang w:val="en-US" w:eastAsia="zh-CN"/>
              </w:rPr>
              <w:t>报价</w:t>
            </w:r>
            <w:r>
              <w:t>÷投标报价）×</w:t>
            </w:r>
            <w:r>
              <w:rPr>
                <w:rFonts w:hint="eastAsia"/>
                <w:lang w:val="en-US" w:eastAsia="zh-CN"/>
              </w:rPr>
              <w:t>40</w:t>
            </w:r>
            <w:r>
              <w:t>%×100。</w:t>
            </w:r>
          </w:p>
          <w:p>
            <w:pPr>
              <w:spacing w:line="360" w:lineRule="auto"/>
              <w:rPr>
                <w:rFonts w:hint="eastAsia" w:ascii="Calibri" w:hAnsi="Calibri" w:eastAsia="宋体" w:cs="Times New Roman"/>
                <w:kern w:val="2"/>
                <w:sz w:val="21"/>
                <w:szCs w:val="24"/>
                <w:lang w:val="en-US" w:eastAsia="zh-CN" w:bidi="ar-SA"/>
              </w:rPr>
            </w:pPr>
          </w:p>
        </w:tc>
        <w:tc>
          <w:tcPr>
            <w:tcW w:w="1188" w:type="dxa"/>
            <w:noWrap w:val="0"/>
            <w:vAlign w:val="top"/>
          </w:tcPr>
          <w:p>
            <w:pPr>
              <w:pStyle w:val="4"/>
              <w:rPr>
                <w:rFonts w:ascii="宋体" w:hAnsi="宋体"/>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080" w:type="dxa"/>
            <w:gridSpan w:val="3"/>
            <w:noWrap w:val="0"/>
            <w:vAlign w:val="top"/>
          </w:tcPr>
          <w:p>
            <w:pPr>
              <w:pStyle w:val="4"/>
              <w:rPr>
                <w:rFonts w:ascii="宋体" w:hAnsi="宋体"/>
                <w:b w:val="0"/>
                <w:bCs/>
                <w:sz w:val="21"/>
                <w:szCs w:val="21"/>
                <w:lang w:val="en-US" w:eastAsia="zh-CN"/>
              </w:rPr>
            </w:pPr>
            <w:r>
              <w:rPr>
                <w:rFonts w:hint="eastAsia" w:ascii="宋体" w:hAnsi="宋体"/>
                <w:b w:val="0"/>
                <w:bCs/>
                <w:sz w:val="21"/>
                <w:szCs w:val="21"/>
                <w:lang w:val="en-US" w:eastAsia="zh-CN"/>
              </w:rPr>
              <w:t>合计得分：100</w:t>
            </w:r>
          </w:p>
        </w:tc>
        <w:tc>
          <w:tcPr>
            <w:tcW w:w="1188" w:type="dxa"/>
            <w:noWrap w:val="0"/>
            <w:vAlign w:val="top"/>
          </w:tcPr>
          <w:p>
            <w:pPr>
              <w:pStyle w:val="4"/>
              <w:rPr>
                <w:rFonts w:ascii="宋体" w:hAnsi="宋体"/>
                <w:b w:val="0"/>
                <w:bCs/>
                <w:sz w:val="21"/>
                <w:szCs w:val="21"/>
                <w:lang w:val="en-US" w:eastAsia="zh-CN"/>
              </w:rPr>
            </w:pPr>
          </w:p>
        </w:tc>
      </w:tr>
    </w:tbl>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default" w:ascii="新宋体" w:hAnsi="新宋体" w:eastAsia="新宋体" w:cs="Times New Roman"/>
          <w:b/>
          <w:bCs/>
          <w:kern w:val="2"/>
          <w:sz w:val="24"/>
          <w:szCs w:val="24"/>
          <w:lang w:val="en-US" w:eastAsia="zh-CN" w:bidi="ar-SA"/>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val="en-US" w:eastAsia="zh-CN"/>
        </w:rPr>
        <w:t>及生产厂家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产品注册证、产品授权</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七、</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31</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八、</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1</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九、附件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bookmarkStart w:id="0" w:name="_GoBack"/>
      <w:bookmarkEnd w:id="0"/>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8</w:t>
      </w:r>
      <w:r>
        <w:rPr>
          <w:rFonts w:hint="eastAsia" w:ascii="新宋体" w:hAnsi="新宋体" w:eastAsia="新宋体"/>
          <w:sz w:val="24"/>
          <w:szCs w:val="24"/>
        </w:rPr>
        <w:t>月</w:t>
      </w:r>
      <w:r>
        <w:rPr>
          <w:rFonts w:hint="eastAsia" w:ascii="新宋体" w:hAnsi="新宋体" w:eastAsia="新宋体"/>
          <w:sz w:val="24"/>
          <w:szCs w:val="24"/>
          <w:lang w:val="en-US" w:eastAsia="zh-CN"/>
        </w:rPr>
        <w:t>28</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p>
      <w:pPr>
        <w:rPr>
          <w:rFonts w:hint="default" w:eastAsia="宋体"/>
          <w:sz w:val="24"/>
          <w:lang w:val="en-US" w:eastAsia="zh-CN"/>
        </w:rPr>
      </w:pPr>
      <w:r>
        <w:rPr>
          <w:rFonts w:hint="eastAsia"/>
          <w:sz w:val="24"/>
          <w:lang w:val="en-US" w:eastAsia="zh-CN"/>
        </w:rPr>
        <w:t>*报价示例：报价为统一折扣</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200"/>
        <w:gridCol w:w="172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Style w:val="15"/>
                <w:sz w:val="18"/>
                <w:szCs w:val="18"/>
                <w:lang w:val="en-US" w:eastAsia="zh-CN" w:bidi="ar"/>
              </w:rPr>
              <w:t>序号</w:t>
            </w:r>
          </w:p>
        </w:tc>
        <w:tc>
          <w:tcPr>
            <w:tcW w:w="3200" w:type="dxa"/>
            <w:vAlign w:val="bottom"/>
          </w:tcPr>
          <w:p>
            <w:pPr>
              <w:keepNext w:val="0"/>
              <w:keepLines w:val="0"/>
              <w:widowControl/>
              <w:suppressLineNumbers w:val="0"/>
              <w:jc w:val="center"/>
              <w:textAlignment w:val="bottom"/>
              <w:rPr>
                <w:rFonts w:hint="default"/>
                <w:sz w:val="18"/>
                <w:szCs w:val="18"/>
                <w:vertAlign w:val="baseline"/>
                <w:lang w:val="en-US"/>
              </w:rPr>
            </w:pPr>
            <w:r>
              <w:rPr>
                <w:rStyle w:val="15"/>
                <w:rFonts w:hint="eastAsia"/>
                <w:sz w:val="18"/>
                <w:szCs w:val="18"/>
                <w:lang w:val="en-US" w:eastAsia="zh-CN" w:bidi="ar"/>
              </w:rPr>
              <w:t>产品名称</w:t>
            </w:r>
          </w:p>
        </w:tc>
        <w:tc>
          <w:tcPr>
            <w:tcW w:w="1727" w:type="dxa"/>
            <w:vAlign w:val="bottom"/>
          </w:tcPr>
          <w:p>
            <w:pPr>
              <w:keepNext w:val="0"/>
              <w:keepLines w:val="0"/>
              <w:widowControl/>
              <w:suppressLineNumbers w:val="0"/>
              <w:jc w:val="center"/>
              <w:textAlignment w:val="bottom"/>
              <w:rPr>
                <w:sz w:val="18"/>
                <w:szCs w:val="18"/>
                <w:vertAlign w:val="baseline"/>
              </w:rPr>
            </w:pPr>
            <w:r>
              <w:rPr>
                <w:rStyle w:val="15"/>
                <w:sz w:val="18"/>
                <w:szCs w:val="18"/>
                <w:lang w:val="en-US" w:eastAsia="zh-CN" w:bidi="ar"/>
              </w:rPr>
              <w:t>规格</w:t>
            </w:r>
          </w:p>
        </w:tc>
        <w:tc>
          <w:tcPr>
            <w:tcW w:w="2388"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报价（元/T）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1</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2</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00000000"/>
    <w:rsid w:val="20826280"/>
    <w:rsid w:val="4B2509DC"/>
    <w:rsid w:val="4C0135D0"/>
    <w:rsid w:val="5FC47510"/>
    <w:rsid w:val="792E0A29"/>
    <w:rsid w:val="7FE045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eastAsia" w:ascii="宋体" w:hAnsi="宋体" w:eastAsia="宋体" w:cs="宋体"/>
      <w:color w:val="000000"/>
      <w:sz w:val="24"/>
      <w:szCs w:val="24"/>
      <w:u w:val="none"/>
    </w:rPr>
  </w:style>
  <w:style w:type="character" w:customStyle="1" w:styleId="16">
    <w:name w:val="font11"/>
    <w:basedOn w:val="10"/>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2008</Words>
  <Characters>2114</Characters>
  <Lines>0</Lines>
  <Paragraphs>0</Paragraphs>
  <TotalTime>19</TotalTime>
  <ScaleCrop>false</ScaleCrop>
  <LinksUpToDate>false</LinksUpToDate>
  <CharactersWithSpaces>2532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陈虹</cp:lastModifiedBy>
  <cp:lastPrinted>2023-07-12T16:47:00Z</cp:lastPrinted>
  <dcterms:modified xsi:type="dcterms:W3CDTF">2023-08-28T02:07:07Z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2598D318DFD84CB9A7A6ED6EDCD9528C_13</vt:lpwstr>
  </property>
</Properties>
</file>