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0" w:lineRule="exact"/>
        <w:ind w:left="643" w:hanging="643"/>
        <w:jc w:val="center"/>
        <w:outlineLvl w:val="0"/>
        <w:rPr>
          <w:rFonts w:hint="default" w:ascii="新宋体" w:hAnsi="新宋体" w:eastAsia="宋体"/>
          <w:b/>
          <w:bCs/>
          <w:sz w:val="32"/>
          <w:szCs w:val="32"/>
          <w:lang w:val="en-US" w:eastAsia="zh-CN"/>
        </w:rPr>
      </w:pPr>
      <w:r>
        <w:rPr>
          <w:rFonts w:hint="eastAsia"/>
          <w:b/>
          <w:bCs/>
          <w:sz w:val="32"/>
          <w:szCs w:val="32"/>
        </w:rPr>
        <w:t>义乌市中心医院关于</w:t>
      </w:r>
      <w:r>
        <w:rPr>
          <w:rFonts w:hint="eastAsia"/>
          <w:b/>
          <w:bCs/>
          <w:sz w:val="32"/>
          <w:szCs w:val="32"/>
          <w:lang w:val="en-US" w:eastAsia="zh-CN"/>
        </w:rPr>
        <w:t>一次性使用留置针</w:t>
      </w:r>
      <w:r>
        <w:rPr>
          <w:rFonts w:hint="eastAsia" w:eastAsia="宋体" w:cs="Times New Roman"/>
          <w:b/>
          <w:bCs/>
          <w:sz w:val="32"/>
          <w:szCs w:val="32"/>
        </w:rPr>
        <w:t>的</w:t>
      </w:r>
      <w:r>
        <w:rPr>
          <w:rFonts w:hint="eastAsia" w:cs="Times New Roman"/>
          <w:b/>
          <w:bCs/>
          <w:sz w:val="32"/>
          <w:szCs w:val="32"/>
          <w:lang w:val="en-US" w:eastAsia="zh-CN"/>
        </w:rPr>
        <w:t>遴选</w:t>
      </w:r>
      <w:r>
        <w:rPr>
          <w:rFonts w:hint="eastAsia"/>
          <w:b/>
          <w:bCs/>
          <w:sz w:val="32"/>
          <w:szCs w:val="32"/>
          <w:lang w:val="en-US" w:eastAsia="zh-CN"/>
        </w:rPr>
        <w:t>公告</w:t>
      </w:r>
    </w:p>
    <w:p>
      <w:pPr>
        <w:snapToGrid w:val="0"/>
        <w:spacing w:line="440" w:lineRule="exact"/>
        <w:ind w:firstLine="540" w:firstLineChars="225"/>
        <w:rPr>
          <w:rFonts w:hint="eastAsia" w:ascii="宋体" w:hAnsi="宋体" w:eastAsia="宋体" w:cs="Arial"/>
          <w:sz w:val="24"/>
          <w:szCs w:val="24"/>
        </w:rPr>
      </w:pPr>
    </w:p>
    <w:p>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rPr>
      </w:pPr>
      <w:r>
        <w:rPr>
          <w:rFonts w:hint="eastAsia" w:ascii="宋体" w:hAnsi="宋体" w:eastAsia="宋体" w:cs="Arial"/>
          <w:sz w:val="24"/>
          <w:szCs w:val="24"/>
        </w:rPr>
        <w:t>为</w:t>
      </w:r>
      <w:r>
        <w:rPr>
          <w:rFonts w:hint="eastAsia" w:ascii="宋体" w:hAnsi="宋体" w:cs="Arial"/>
          <w:sz w:val="24"/>
          <w:szCs w:val="24"/>
          <w:lang w:val="en-US" w:eastAsia="zh-CN"/>
        </w:rPr>
        <w:t>规范耗材管理，降低我院耗材采购成本</w:t>
      </w:r>
      <w:r>
        <w:rPr>
          <w:rFonts w:hint="eastAsia" w:ascii="宋体" w:hAnsi="宋体" w:eastAsia="宋体" w:cs="Arial"/>
          <w:sz w:val="24"/>
          <w:szCs w:val="24"/>
        </w:rPr>
        <w:t>，现对义乌市中心医院</w:t>
      </w:r>
      <w:r>
        <w:rPr>
          <w:rFonts w:hint="eastAsia"/>
          <w:b w:val="0"/>
          <w:bCs w:val="0"/>
          <w:sz w:val="24"/>
          <w:szCs w:val="24"/>
          <w:lang w:val="en-US" w:eastAsia="zh-CN"/>
        </w:rPr>
        <w:t>一次性使用留置针进行耗材遴选</w:t>
      </w:r>
      <w:r>
        <w:rPr>
          <w:rFonts w:hint="eastAsia" w:ascii="宋体" w:hAnsi="宋体" w:eastAsia="宋体" w:cs="Arial"/>
          <w:sz w:val="24"/>
          <w:szCs w:val="24"/>
        </w:rPr>
        <w:t>，欢迎合格的供应商积极报名参加。</w:t>
      </w:r>
    </w:p>
    <w:p>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rPr>
      </w:pPr>
      <w:r>
        <w:rPr>
          <w:rFonts w:hint="eastAsia" w:ascii="新宋体" w:hAnsi="新宋体" w:eastAsia="新宋体"/>
          <w:b/>
          <w:bCs/>
          <w:sz w:val="24"/>
          <w:szCs w:val="24"/>
        </w:rPr>
        <w:t>采购项目概况：</w:t>
      </w:r>
    </w:p>
    <w:p>
      <w:pPr>
        <w:pStyle w:val="13"/>
        <w:bidi w:val="0"/>
        <w:rPr>
          <w:rFonts w:hint="eastAsia"/>
          <w:sz w:val="24"/>
          <w:szCs w:val="24"/>
          <w:lang w:val="en-US" w:eastAsia="zh-CN"/>
        </w:rPr>
      </w:pPr>
      <w:r>
        <w:rPr>
          <w:rFonts w:hint="eastAsia"/>
          <w:sz w:val="24"/>
          <w:szCs w:val="24"/>
          <w:lang w:val="en-US" w:eastAsia="zh-CN"/>
        </w:rPr>
        <w:t>本项目静脉留置针根据临床医用涉及五个分类，分为7个标段，</w:t>
      </w:r>
      <w:r>
        <w:rPr>
          <w:rFonts w:hint="eastAsia" w:ascii="宋体" w:hAnsi="宋体"/>
          <w:b w:val="0"/>
          <w:bCs/>
          <w:sz w:val="24"/>
          <w:szCs w:val="21"/>
        </w:rPr>
        <w:t>投标人可以选择一个或多个标段同时进行投标，投多个标段时，投标文件需按标段</w:t>
      </w:r>
      <w:r>
        <w:rPr>
          <w:rFonts w:hint="eastAsia" w:ascii="宋体" w:hAnsi="宋体"/>
          <w:b w:val="0"/>
          <w:bCs/>
          <w:sz w:val="24"/>
          <w:szCs w:val="21"/>
          <w:lang w:val="en-US" w:eastAsia="zh-CN"/>
        </w:rPr>
        <w:t>分开</w:t>
      </w:r>
      <w:r>
        <w:rPr>
          <w:rFonts w:hint="eastAsia" w:ascii="宋体" w:hAnsi="宋体"/>
          <w:b w:val="0"/>
          <w:bCs/>
          <w:sz w:val="24"/>
          <w:szCs w:val="21"/>
        </w:rPr>
        <w:t>制作</w:t>
      </w:r>
      <w:r>
        <w:rPr>
          <w:rFonts w:hint="eastAsia"/>
          <w:sz w:val="24"/>
          <w:szCs w:val="24"/>
          <w:lang w:val="en-US" w:eastAsia="zh-CN"/>
        </w:rPr>
        <w:t>，遴选范围为</w:t>
      </w:r>
      <w:r>
        <w:rPr>
          <w:rFonts w:hint="eastAsia"/>
          <w:b/>
          <w:bCs/>
          <w:sz w:val="24"/>
          <w:szCs w:val="24"/>
          <w:lang w:val="en-US" w:eastAsia="zh-CN"/>
        </w:rPr>
        <w:t>省平台中标产品</w:t>
      </w:r>
      <w:r>
        <w:rPr>
          <w:rFonts w:hint="eastAsia"/>
          <w:sz w:val="24"/>
          <w:szCs w:val="24"/>
          <w:lang w:val="en-US" w:eastAsia="zh-CN"/>
        </w:rPr>
        <w:t>。详情如下：</w:t>
      </w:r>
    </w:p>
    <w:tbl>
      <w:tblPr>
        <w:tblStyle w:val="10"/>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142"/>
        <w:gridCol w:w="1942"/>
        <w:gridCol w:w="26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23" w:type="dxa"/>
            <w:vAlign w:val="center"/>
          </w:tcPr>
          <w:p>
            <w:pPr>
              <w:jc w:val="center"/>
              <w:rPr>
                <w:rFonts w:hint="default"/>
                <w:lang w:val="en-US" w:eastAsia="zh-CN"/>
              </w:rPr>
            </w:pPr>
            <w:r>
              <w:rPr>
                <w:rFonts w:hint="eastAsia"/>
                <w:lang w:val="en-US" w:eastAsia="zh-CN"/>
              </w:rPr>
              <w:t>标段</w:t>
            </w:r>
          </w:p>
        </w:tc>
        <w:tc>
          <w:tcPr>
            <w:tcW w:w="2142" w:type="dxa"/>
            <w:vAlign w:val="center"/>
          </w:tcPr>
          <w:p>
            <w:pPr>
              <w:jc w:val="center"/>
              <w:rPr>
                <w:rFonts w:hint="default"/>
                <w:lang w:val="en-US" w:eastAsia="zh-CN"/>
              </w:rPr>
            </w:pPr>
            <w:r>
              <w:rPr>
                <w:rFonts w:hint="eastAsia"/>
                <w:lang w:val="en-US" w:eastAsia="zh-CN"/>
              </w:rPr>
              <w:t>耗材名称</w:t>
            </w:r>
          </w:p>
        </w:tc>
        <w:tc>
          <w:tcPr>
            <w:tcW w:w="1942" w:type="dxa"/>
            <w:vAlign w:val="center"/>
          </w:tcPr>
          <w:p>
            <w:pPr>
              <w:jc w:val="center"/>
              <w:rPr>
                <w:rFonts w:hint="default"/>
                <w:lang w:val="en-US" w:eastAsia="zh-CN"/>
              </w:rPr>
            </w:pPr>
            <w:r>
              <w:rPr>
                <w:rFonts w:hint="eastAsia"/>
                <w:lang w:val="en-US" w:eastAsia="zh-CN"/>
              </w:rPr>
              <w:t>规格型号</w:t>
            </w:r>
          </w:p>
        </w:tc>
        <w:tc>
          <w:tcPr>
            <w:tcW w:w="2694" w:type="dxa"/>
            <w:vAlign w:val="center"/>
          </w:tcPr>
          <w:p>
            <w:pPr>
              <w:jc w:val="center"/>
              <w:rPr>
                <w:rFonts w:hint="default"/>
                <w:lang w:val="en-US" w:eastAsia="zh-CN"/>
              </w:rPr>
            </w:pPr>
            <w:r>
              <w:rPr>
                <w:rFonts w:hint="eastAsia"/>
                <w:lang w:val="en-US" w:eastAsia="zh-CN"/>
              </w:rPr>
              <w:t>临床需求及预期用途</w:t>
            </w:r>
          </w:p>
        </w:tc>
        <w:tc>
          <w:tcPr>
            <w:tcW w:w="1396" w:type="dxa"/>
            <w:vAlign w:val="center"/>
          </w:tcPr>
          <w:p>
            <w:pPr>
              <w:jc w:val="center"/>
              <w:rPr>
                <w:rFonts w:hint="default"/>
                <w:lang w:val="en-US" w:eastAsia="zh-CN"/>
              </w:rPr>
            </w:pPr>
            <w:r>
              <w:rPr>
                <w:rFonts w:hint="eastAsia"/>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3" w:type="dxa"/>
            <w:vAlign w:val="center"/>
          </w:tcPr>
          <w:p>
            <w:pPr>
              <w:jc w:val="center"/>
              <w:rPr>
                <w:rFonts w:hint="default"/>
                <w:lang w:val="en-US" w:eastAsia="zh-CN"/>
              </w:rPr>
            </w:pPr>
            <w:r>
              <w:rPr>
                <w:rFonts w:hint="eastAsia"/>
                <w:lang w:val="en-US" w:eastAsia="zh-CN"/>
              </w:rPr>
              <w:t>标段1</w:t>
            </w:r>
          </w:p>
        </w:tc>
        <w:tc>
          <w:tcPr>
            <w:tcW w:w="2142" w:type="dxa"/>
            <w:vAlign w:val="center"/>
          </w:tcPr>
          <w:p>
            <w:pPr>
              <w:keepNext w:val="0"/>
              <w:keepLines w:val="0"/>
              <w:widowControl/>
              <w:suppressLineNumbers w:val="0"/>
              <w:jc w:val="center"/>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jc w:val="center"/>
              <w:rPr>
                <w:rFonts w:hint="default"/>
                <w:lang w:val="en-US" w:eastAsia="zh-CN"/>
              </w:rPr>
            </w:pPr>
            <w:r>
              <w:rPr>
                <w:rFonts w:hint="eastAsia"/>
                <w:sz w:val="18"/>
                <w:szCs w:val="21"/>
                <w:lang w:val="en-US" w:eastAsia="zh-CN"/>
              </w:rPr>
              <w:t>（普通直型留置针）</w:t>
            </w:r>
          </w:p>
        </w:tc>
        <w:tc>
          <w:tcPr>
            <w:tcW w:w="1942"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2"/>
                <w:szCs w:val="22"/>
                <w:lang w:val="en-US" w:eastAsia="zh-CN" w:bidi="ar"/>
              </w:rPr>
              <w:t>1适用于人体外周血管静脉系统输液，留置时间不大于 72 小时。抗高压，用于造影病</w:t>
            </w:r>
            <w:bookmarkStart w:id="0" w:name="_GoBack"/>
            <w:bookmarkEnd w:id="0"/>
            <w:r>
              <w:rPr>
                <w:rFonts w:hint="eastAsia" w:ascii="宋体" w:hAnsi="宋体" w:eastAsia="宋体" w:cs="宋体"/>
                <w:color w:val="000000"/>
                <w:kern w:val="0"/>
                <w:sz w:val="22"/>
                <w:szCs w:val="22"/>
                <w:lang w:val="en-US" w:eastAsia="zh-CN" w:bidi="ar"/>
              </w:rPr>
              <w:t>人。2用于小儿输液，非正压留置针。</w:t>
            </w:r>
          </w:p>
        </w:tc>
        <w:tc>
          <w:tcPr>
            <w:tcW w:w="1396" w:type="dxa"/>
            <w:vAlign w:val="center"/>
          </w:tcPr>
          <w:p>
            <w:pPr>
              <w:pStyle w:val="2"/>
              <w:ind w:left="0" w:leftChars="0" w:firstLine="0" w:firstLineChars="0"/>
              <w:jc w:val="center"/>
              <w:rPr>
                <w:rFonts w:hint="default"/>
                <w:lang w:val="en-US" w:eastAsia="zh-CN"/>
              </w:rPr>
            </w:pPr>
            <w:r>
              <w:rPr>
                <w:rFonts w:hint="eastAsia" w:ascii="宋体" w:hAnsi="宋体" w:cs="宋体"/>
                <w:i w:val="0"/>
                <w:iCs w:val="0"/>
                <w:color w:val="auto"/>
                <w:kern w:val="0"/>
                <w:sz w:val="22"/>
                <w:szCs w:val="22"/>
                <w:u w:val="none"/>
                <w:lang w:val="en-US" w:eastAsia="zh-CN" w:bidi="ar"/>
              </w:rPr>
              <w:t>各临床科室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3" w:type="dxa"/>
            <w:vAlign w:val="center"/>
          </w:tcPr>
          <w:p>
            <w:pPr>
              <w:jc w:val="center"/>
              <w:rPr>
                <w:rFonts w:hint="default"/>
                <w:lang w:val="en-US" w:eastAsia="zh-CN"/>
              </w:rPr>
            </w:pPr>
            <w:r>
              <w:rPr>
                <w:rFonts w:hint="eastAsia"/>
                <w:lang w:val="en-US" w:eastAsia="zh-CN"/>
              </w:rPr>
              <w:t>标段2</w:t>
            </w:r>
          </w:p>
        </w:tc>
        <w:tc>
          <w:tcPr>
            <w:tcW w:w="2142" w:type="dxa"/>
            <w:vAlign w:val="center"/>
          </w:tcPr>
          <w:p>
            <w:pPr>
              <w:keepNext w:val="0"/>
              <w:keepLines w:val="0"/>
              <w:widowControl/>
              <w:suppressLineNumbers w:val="0"/>
              <w:jc w:val="center"/>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rPr>
                <w:rFonts w:hint="default"/>
                <w:lang w:val="en-US" w:eastAsia="zh-CN"/>
              </w:rPr>
            </w:pPr>
            <w:r>
              <w:rPr>
                <w:rFonts w:hint="eastAsia"/>
                <w:sz w:val="18"/>
                <w:szCs w:val="21"/>
                <w:lang w:val="en-US" w:eastAsia="zh-CN"/>
              </w:rPr>
              <w:t>（普通Y型留置针）</w:t>
            </w:r>
          </w:p>
        </w:tc>
        <w:tc>
          <w:tcPr>
            <w:tcW w:w="1942"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本产品供插入人体外周血管 静脉系统输液用，留置时间 不大于 72 小时。非正压接头，对封管要求较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高。</w:t>
            </w:r>
          </w:p>
          <w:p>
            <w:pPr>
              <w:keepNext w:val="0"/>
              <w:keepLines w:val="0"/>
              <w:widowControl/>
              <w:suppressLineNumbers w:val="0"/>
              <w:jc w:val="center"/>
              <w:textAlignment w:val="center"/>
              <w:rPr>
                <w:rFonts w:hint="default"/>
                <w:lang w:val="en-US" w:eastAsia="zh-CN"/>
              </w:rPr>
            </w:pPr>
          </w:p>
        </w:tc>
        <w:tc>
          <w:tcPr>
            <w:tcW w:w="1396"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ICU、内镜室、新生儿科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3" w:type="dxa"/>
            <w:vAlign w:val="center"/>
          </w:tcPr>
          <w:p>
            <w:pPr>
              <w:jc w:val="center"/>
              <w:rPr>
                <w:rFonts w:hint="default"/>
                <w:lang w:val="en-US" w:eastAsia="zh-CN"/>
              </w:rPr>
            </w:pPr>
            <w:r>
              <w:rPr>
                <w:rFonts w:hint="eastAsia"/>
                <w:lang w:val="en-US" w:eastAsia="zh-CN"/>
              </w:rPr>
              <w:t>标段3</w:t>
            </w:r>
          </w:p>
        </w:tc>
        <w:tc>
          <w:tcPr>
            <w:tcW w:w="2142" w:type="dxa"/>
            <w:vAlign w:val="center"/>
          </w:tcPr>
          <w:p>
            <w:pPr>
              <w:keepNext w:val="0"/>
              <w:keepLines w:val="0"/>
              <w:widowControl/>
              <w:suppressLineNumbers w:val="0"/>
              <w:jc w:val="center"/>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rPr>
                <w:rFonts w:hint="default"/>
                <w:lang w:val="en-US" w:eastAsia="zh-CN"/>
              </w:rPr>
            </w:pPr>
            <w:r>
              <w:rPr>
                <w:rFonts w:hint="eastAsia"/>
                <w:sz w:val="18"/>
                <w:szCs w:val="21"/>
                <w:lang w:val="en-US" w:eastAsia="zh-CN"/>
              </w:rPr>
              <w:t>（动脉监测留置针）</w:t>
            </w:r>
          </w:p>
        </w:tc>
        <w:tc>
          <w:tcPr>
            <w:tcW w:w="1942"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2"/>
                <w:szCs w:val="22"/>
                <w:lang w:val="en-US" w:eastAsia="zh-CN" w:bidi="ar"/>
              </w:rPr>
              <w:t>1.适用于静脉输液、给药以及采集血液样本。 2.用于患者动脉监测、有 创动脉置管或动脉穿刺等。</w:t>
            </w:r>
          </w:p>
        </w:tc>
        <w:tc>
          <w:tcPr>
            <w:tcW w:w="1396"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ICU、EICU、</w:t>
            </w:r>
          </w:p>
          <w:p>
            <w:pPr>
              <w:pStyle w:val="2"/>
              <w:ind w:left="0" w:leftChars="0" w:firstLine="0" w:firstLineChars="0"/>
              <w:jc w:val="center"/>
              <w:rPr>
                <w:rFonts w:hint="default"/>
                <w:lang w:val="en-US" w:eastAsia="zh-CN"/>
              </w:rPr>
            </w:pPr>
            <w:r>
              <w:rPr>
                <w:rFonts w:hint="eastAsia"/>
                <w:lang w:val="en-US" w:eastAsia="zh-CN"/>
              </w:rPr>
              <w:t>血透室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3" w:type="dxa"/>
            <w:vAlign w:val="center"/>
          </w:tcPr>
          <w:p>
            <w:pPr>
              <w:jc w:val="center"/>
              <w:rPr>
                <w:rFonts w:hint="default"/>
                <w:lang w:val="en-US" w:eastAsia="zh-CN"/>
              </w:rPr>
            </w:pPr>
            <w:r>
              <w:rPr>
                <w:rFonts w:hint="eastAsia"/>
                <w:lang w:val="en-US" w:eastAsia="zh-CN"/>
              </w:rPr>
              <w:t>标段4</w:t>
            </w:r>
          </w:p>
        </w:tc>
        <w:tc>
          <w:tcPr>
            <w:tcW w:w="2142" w:type="dxa"/>
            <w:vAlign w:val="center"/>
          </w:tcPr>
          <w:p>
            <w:pPr>
              <w:keepNext w:val="0"/>
              <w:keepLines w:val="0"/>
              <w:widowControl/>
              <w:suppressLineNumbers w:val="0"/>
              <w:jc w:val="center"/>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jc w:val="center"/>
              <w:rPr>
                <w:rFonts w:hint="eastAsia"/>
                <w:lang w:val="en-US" w:eastAsia="zh-CN"/>
              </w:rPr>
            </w:pPr>
            <w:r>
              <w:rPr>
                <w:rFonts w:hint="eastAsia"/>
                <w:sz w:val="18"/>
                <w:szCs w:val="21"/>
                <w:lang w:val="en-US" w:eastAsia="zh-CN"/>
              </w:rPr>
              <w:t>（正压直型留置针）</w:t>
            </w:r>
          </w:p>
        </w:tc>
        <w:tc>
          <w:tcPr>
            <w:tcW w:w="1942" w:type="dxa"/>
            <w:vAlign w:val="center"/>
          </w:tcPr>
          <w:p>
            <w:pPr>
              <w:keepNext w:val="0"/>
              <w:keepLines w:val="0"/>
              <w:widowControl/>
              <w:suppressLineNumbers w:val="0"/>
              <w:jc w:val="center"/>
              <w:textAlignment w:val="center"/>
              <w:rPr>
                <w:rFonts w:hint="eastAsia"/>
                <w:color w:val="auto"/>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用于静脉输液。 正压接头不回血，无输液针接触。</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9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各临床科室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3" w:type="dxa"/>
            <w:vAlign w:val="center"/>
          </w:tcPr>
          <w:p>
            <w:pPr>
              <w:jc w:val="center"/>
              <w:rPr>
                <w:rFonts w:hint="eastAsia"/>
                <w:lang w:val="en-US" w:eastAsia="zh-CN"/>
              </w:rPr>
            </w:pPr>
            <w:r>
              <w:rPr>
                <w:rFonts w:hint="eastAsia"/>
                <w:lang w:val="en-US" w:eastAsia="zh-CN"/>
              </w:rPr>
              <w:t>标段5</w:t>
            </w:r>
          </w:p>
        </w:tc>
        <w:tc>
          <w:tcPr>
            <w:tcW w:w="2142" w:type="dxa"/>
            <w:vAlign w:val="center"/>
          </w:tcPr>
          <w:p>
            <w:pPr>
              <w:keepNext w:val="0"/>
              <w:keepLines w:val="0"/>
              <w:widowControl/>
              <w:suppressLineNumbers w:val="0"/>
              <w:jc w:val="center"/>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jc w:val="center"/>
              <w:rPr>
                <w:rFonts w:hint="eastAsia"/>
                <w:sz w:val="18"/>
                <w:szCs w:val="21"/>
                <w:lang w:val="en-US" w:eastAsia="zh-CN"/>
              </w:rPr>
            </w:pPr>
            <w:r>
              <w:rPr>
                <w:rFonts w:hint="eastAsia"/>
                <w:sz w:val="18"/>
                <w:szCs w:val="21"/>
                <w:lang w:val="en-US" w:eastAsia="zh-CN"/>
              </w:rPr>
              <w:t>（正压Y型留置针）</w:t>
            </w:r>
          </w:p>
        </w:tc>
        <w:tc>
          <w:tcPr>
            <w:tcW w:w="1942"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用于静脉输液。 正压接头不回血，无输液针接触。</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96"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各临床科室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3" w:type="dxa"/>
            <w:vAlign w:val="center"/>
          </w:tcPr>
          <w:p>
            <w:pPr>
              <w:jc w:val="center"/>
              <w:rPr>
                <w:rFonts w:hint="default"/>
                <w:lang w:val="en-US" w:eastAsia="zh-CN"/>
              </w:rPr>
            </w:pPr>
            <w:r>
              <w:rPr>
                <w:rFonts w:hint="eastAsia"/>
                <w:lang w:val="en-US" w:eastAsia="zh-CN"/>
              </w:rPr>
              <w:t>标段6</w:t>
            </w:r>
          </w:p>
        </w:tc>
        <w:tc>
          <w:tcPr>
            <w:tcW w:w="2142" w:type="dxa"/>
            <w:vAlign w:val="center"/>
          </w:tcPr>
          <w:p>
            <w:pPr>
              <w:keepNext w:val="0"/>
              <w:keepLines w:val="0"/>
              <w:widowControl/>
              <w:suppressLineNumbers w:val="0"/>
              <w:jc w:val="both"/>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rPr>
                <w:rFonts w:hint="eastAsia"/>
                <w:lang w:val="en-US" w:eastAsia="zh-CN"/>
              </w:rPr>
            </w:pPr>
            <w:r>
              <w:rPr>
                <w:rFonts w:hint="eastAsia"/>
                <w:sz w:val="16"/>
                <w:szCs w:val="20"/>
                <w:lang w:val="en-US" w:eastAsia="zh-CN"/>
              </w:rPr>
              <w:t>（安全型正压直型留置针）</w:t>
            </w:r>
          </w:p>
        </w:tc>
        <w:tc>
          <w:tcPr>
            <w:tcW w:w="1942" w:type="dxa"/>
            <w:vAlign w:val="center"/>
          </w:tcPr>
          <w:p>
            <w:pPr>
              <w:keepNext w:val="0"/>
              <w:keepLines w:val="0"/>
              <w:widowControl/>
              <w:suppressLineNumbers w:val="0"/>
              <w:jc w:val="center"/>
              <w:textAlignment w:val="center"/>
              <w:rPr>
                <w:rFonts w:hint="eastAsia"/>
                <w:color w:val="auto"/>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适用于外周静脉输液,留置时间不大于 72 小时。 适用于有不确定或确定的传染病人（艾滋病、肝炎、结核病等）。</w:t>
            </w:r>
          </w:p>
          <w:p>
            <w:pPr>
              <w:keepNext w:val="0"/>
              <w:keepLines w:val="0"/>
              <w:widowControl/>
              <w:suppressLineNumbers w:val="0"/>
              <w:jc w:val="center"/>
              <w:textAlignment w:val="center"/>
              <w:rPr>
                <w:rFonts w:hint="eastAsia"/>
                <w:color w:val="auto"/>
                <w:lang w:val="en-US" w:eastAsia="zh-CN"/>
              </w:rPr>
            </w:pPr>
          </w:p>
        </w:tc>
        <w:tc>
          <w:tcPr>
            <w:tcW w:w="13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各临床科室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3" w:type="dxa"/>
            <w:vAlign w:val="center"/>
          </w:tcPr>
          <w:p>
            <w:pPr>
              <w:jc w:val="center"/>
              <w:rPr>
                <w:rFonts w:hint="default"/>
                <w:lang w:val="en-US" w:eastAsia="zh-CN"/>
              </w:rPr>
            </w:pPr>
            <w:r>
              <w:rPr>
                <w:rFonts w:hint="eastAsia"/>
                <w:lang w:val="en-US" w:eastAsia="zh-CN"/>
              </w:rPr>
              <w:t>标段7</w:t>
            </w:r>
          </w:p>
        </w:tc>
        <w:tc>
          <w:tcPr>
            <w:tcW w:w="2142" w:type="dxa"/>
            <w:vAlign w:val="center"/>
          </w:tcPr>
          <w:p>
            <w:pPr>
              <w:keepNext w:val="0"/>
              <w:keepLines w:val="0"/>
              <w:widowControl/>
              <w:suppressLineNumbers w:val="0"/>
              <w:jc w:val="both"/>
              <w:textAlignment w:val="center"/>
              <w:rPr>
                <w:rFonts w:hint="eastAsia"/>
                <w:sz w:val="18"/>
                <w:szCs w:val="21"/>
                <w:lang w:val="en-US" w:eastAsia="zh-CN"/>
              </w:rPr>
            </w:pPr>
            <w:r>
              <w:rPr>
                <w:rFonts w:hint="eastAsia"/>
                <w:sz w:val="18"/>
                <w:szCs w:val="21"/>
                <w:lang w:val="en-US" w:eastAsia="zh-CN"/>
              </w:rPr>
              <w:t>一次性使用留置针</w:t>
            </w:r>
          </w:p>
          <w:p>
            <w:pPr>
              <w:pStyle w:val="2"/>
              <w:ind w:left="0" w:leftChars="0" w:firstLine="0" w:firstLineChars="0"/>
              <w:rPr>
                <w:rFonts w:hint="eastAsia"/>
                <w:sz w:val="16"/>
                <w:szCs w:val="20"/>
                <w:lang w:val="en-US" w:eastAsia="zh-CN"/>
              </w:rPr>
            </w:pPr>
            <w:r>
              <w:rPr>
                <w:rFonts w:hint="eastAsia"/>
                <w:sz w:val="16"/>
                <w:szCs w:val="20"/>
                <w:lang w:val="en-US" w:eastAsia="zh-CN"/>
              </w:rPr>
              <w:t>（安全型正压Y型留置针）</w:t>
            </w:r>
          </w:p>
        </w:tc>
        <w:tc>
          <w:tcPr>
            <w:tcW w:w="1942"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规格齐全</w:t>
            </w:r>
          </w:p>
        </w:tc>
        <w:tc>
          <w:tcPr>
            <w:tcW w:w="2694"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适用于外周静脉输液,留置时间不大于 72 小时。 适用于有不确定或确定的传染病人（艾滋病、肝炎、结核病等）。</w:t>
            </w:r>
          </w:p>
          <w:p>
            <w:pPr>
              <w:keepNext w:val="0"/>
              <w:keepLines w:val="0"/>
              <w:widowControl/>
              <w:suppressLineNumbers w:val="0"/>
              <w:jc w:val="center"/>
              <w:textAlignment w:val="center"/>
              <w:rPr>
                <w:rFonts w:hint="eastAsia"/>
                <w:color w:val="auto"/>
                <w:lang w:val="en-US" w:eastAsia="zh-CN"/>
              </w:rPr>
            </w:pPr>
          </w:p>
        </w:tc>
        <w:tc>
          <w:tcPr>
            <w:tcW w:w="1396"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各临床科室</w:t>
            </w:r>
          </w:p>
        </w:tc>
      </w:tr>
    </w:tbl>
    <w:p>
      <w:pPr>
        <w:pStyle w:val="13"/>
        <w:bidi w:val="0"/>
        <w:ind w:left="0" w:leftChars="0" w:firstLine="0" w:firstLineChars="0"/>
        <w:rPr>
          <w:rFonts w:hint="eastAsia"/>
          <w:sz w:val="24"/>
          <w:szCs w:val="24"/>
          <w:lang w:val="en-US" w:eastAsia="zh-CN"/>
        </w:rPr>
      </w:pPr>
    </w:p>
    <w:p>
      <w:pPr>
        <w:pStyle w:val="13"/>
        <w:bidi w:val="0"/>
        <w:ind w:left="0" w:leftChars="0" w:firstLine="0" w:firstLineChars="0"/>
        <w:rPr>
          <w:rFonts w:hint="default"/>
          <w:sz w:val="24"/>
          <w:szCs w:val="24"/>
          <w:lang w:val="en-US" w:eastAsia="zh-CN"/>
        </w:rPr>
      </w:pPr>
    </w:p>
    <w:p>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rPr>
      </w:pPr>
      <w:r>
        <w:rPr>
          <w:rFonts w:hint="eastAsia" w:ascii="新宋体" w:hAnsi="新宋体" w:eastAsia="新宋体"/>
          <w:b/>
          <w:bCs/>
          <w:sz w:val="24"/>
          <w:szCs w:val="24"/>
        </w:rPr>
        <w:t>二、采购方式：</w:t>
      </w:r>
      <w:r>
        <w:rPr>
          <w:rFonts w:hint="eastAsia" w:ascii="新宋体" w:hAnsi="新宋体" w:eastAsia="新宋体"/>
          <w:b w:val="0"/>
          <w:bCs w:val="0"/>
          <w:sz w:val="24"/>
          <w:szCs w:val="24"/>
          <w:lang w:val="en-US" w:eastAsia="zh-CN"/>
        </w:rPr>
        <w:t>耗材</w:t>
      </w:r>
      <w:r>
        <w:rPr>
          <w:rFonts w:hint="eastAsia" w:ascii="宋体" w:hAnsi="宋体" w:cs="Arial"/>
          <w:sz w:val="24"/>
          <w:szCs w:val="24"/>
          <w:lang w:val="en-US" w:eastAsia="zh-CN"/>
        </w:rPr>
        <w:t>遴选</w:t>
      </w:r>
      <w:r>
        <w:rPr>
          <w:rFonts w:hint="eastAsia" w:ascii="宋体" w:hAnsi="宋体" w:eastAsia="宋体" w:cs="Arial"/>
          <w:sz w:val="24"/>
          <w:szCs w:val="24"/>
        </w:rPr>
        <w:t>。</w:t>
      </w:r>
    </w:p>
    <w:p>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lang w:val="en-US" w:eastAsia="zh-CN"/>
        </w:rPr>
      </w:pPr>
      <w:r>
        <w:rPr>
          <w:rFonts w:hint="eastAsia" w:ascii="新宋体" w:hAnsi="新宋体" w:eastAsia="新宋体"/>
          <w:b/>
          <w:bCs/>
          <w:sz w:val="24"/>
          <w:szCs w:val="24"/>
        </w:rPr>
        <w:t>三、采购预算：</w:t>
      </w:r>
      <w:r>
        <w:rPr>
          <w:rFonts w:hint="eastAsia" w:ascii="新宋体" w:hAnsi="新宋体" w:eastAsia="新宋体"/>
          <w:b/>
          <w:bCs/>
          <w:sz w:val="24"/>
          <w:szCs w:val="24"/>
          <w:lang w:val="en-US" w:eastAsia="zh-CN"/>
        </w:rPr>
        <w:t>见表格。</w:t>
      </w:r>
    </w:p>
    <w:p>
      <w:pPr>
        <w:pStyle w:val="2"/>
        <w:rPr>
          <w:rFonts w:hint="eastAsia" w:ascii="新宋体" w:hAnsi="新宋体" w:eastAsia="新宋体"/>
          <w:b/>
          <w:bCs/>
          <w:sz w:val="24"/>
          <w:szCs w:val="24"/>
          <w:lang w:val="en-US" w:eastAsia="zh-CN"/>
        </w:rPr>
      </w:pPr>
      <w:r>
        <w:rPr>
          <w:rFonts w:hint="eastAsia" w:ascii="新宋体" w:hAnsi="新宋体" w:eastAsia="新宋体"/>
          <w:b/>
          <w:bCs/>
          <w:sz w:val="24"/>
          <w:szCs w:val="24"/>
          <w:lang w:val="en-US" w:eastAsia="zh-CN"/>
        </w:rPr>
        <w:t>四、报名方式及标书投递：</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lang w:val="en-US" w:eastAsia="zh-CN"/>
        </w:rPr>
      </w:pPr>
      <w:r>
        <w:rPr>
          <w:rFonts w:hint="eastAsia"/>
          <w:color w:val="auto"/>
          <w:sz w:val="24"/>
          <w:szCs w:val="24"/>
          <w:lang w:val="en-US" w:eastAsia="zh-CN"/>
        </w:rPr>
        <w:t>4.1 报名方式</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lang w:val="en-US" w:eastAsia="zh-CN"/>
        </w:rPr>
      </w:pPr>
      <w:r>
        <w:rPr>
          <w:rFonts w:hint="eastAsia"/>
          <w:color w:val="0000FF"/>
          <w:sz w:val="24"/>
          <w:szCs w:val="24"/>
          <w:lang w:val="en-US" w:eastAsia="zh-CN"/>
        </w:rPr>
        <w:t>有意投标供应商请用微信扫描下方二维码填写报名表单并提交。</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lang w:val="en-US" w:eastAsia="zh-CN"/>
        </w:rPr>
      </w:pPr>
      <w:r>
        <w:rPr>
          <w:rFonts w:hint="eastAsia"/>
          <w:color w:val="0000FF"/>
          <w:sz w:val="24"/>
          <w:szCs w:val="24"/>
          <w:lang w:val="en-US" w:eastAsia="zh-CN"/>
        </w:rPr>
        <w:t>报名截止时间2023年11月30日17时。</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lang w:val="en-US" w:eastAsia="zh-CN"/>
        </w:rPr>
      </w:pPr>
      <w:r>
        <w:rPr>
          <w:rFonts w:hint="eastAsia"/>
          <w:color w:val="0000FF"/>
          <w:sz w:val="24"/>
          <w:szCs w:val="24"/>
          <w:lang w:val="en-US" w:eastAsia="zh-CN"/>
        </w:rPr>
        <w:drawing>
          <wp:anchor distT="0" distB="0" distL="114300" distR="114300" simplePos="0" relativeHeight="251659264" behindDoc="0" locked="0" layoutInCell="1" allowOverlap="1">
            <wp:simplePos x="0" y="0"/>
            <wp:positionH relativeFrom="column">
              <wp:posOffset>2005965</wp:posOffset>
            </wp:positionH>
            <wp:positionV relativeFrom="paragraph">
              <wp:posOffset>164465</wp:posOffset>
            </wp:positionV>
            <wp:extent cx="1705610" cy="1705610"/>
            <wp:effectExtent l="0" t="0" r="8890" b="8890"/>
            <wp:wrapTopAndBottom/>
            <wp:docPr id="1" name="图片 1" descr="留置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留置针"/>
                    <pic:cNvPicPr>
                      <a:picLocks noChangeAspect="1"/>
                    </pic:cNvPicPr>
                  </pic:nvPicPr>
                  <pic:blipFill>
                    <a:blip r:embed="rId4"/>
                    <a:stretch>
                      <a:fillRect/>
                    </a:stretch>
                  </pic:blipFill>
                  <pic:spPr>
                    <a:xfrm>
                      <a:off x="0" y="0"/>
                      <a:ext cx="1705610" cy="1705610"/>
                    </a:xfrm>
                    <a:prstGeom prst="rect">
                      <a:avLst/>
                    </a:prstGeom>
                  </pic:spPr>
                </pic:pic>
              </a:graphicData>
            </a:graphic>
          </wp:anchor>
        </w:drawing>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lang w:val="en-US" w:eastAsia="zh-CN"/>
        </w:rPr>
      </w:pPr>
      <w:r>
        <w:rPr>
          <w:rFonts w:hint="eastAsia"/>
          <w:color w:val="auto"/>
          <w:sz w:val="24"/>
          <w:szCs w:val="24"/>
          <w:lang w:val="en-US" w:eastAsia="zh-CN"/>
        </w:rPr>
        <w:t>4.2 标书</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sz w:val="24"/>
          <w:szCs w:val="24"/>
          <w:lang w:val="en-US" w:eastAsia="zh-CN"/>
        </w:rPr>
      </w:pPr>
      <w:r>
        <w:rPr>
          <w:rFonts w:hint="eastAsia"/>
          <w:color w:val="auto"/>
          <w:sz w:val="24"/>
          <w:szCs w:val="24"/>
          <w:lang w:val="en-US" w:eastAsia="zh-CN"/>
        </w:rPr>
        <w:t>报名完成后根据“第六条”制作标书进行投递，</w:t>
      </w:r>
      <w:r>
        <w:rPr>
          <w:rFonts w:hint="eastAsia" w:ascii="新宋体" w:hAnsi="新宋体" w:eastAsia="新宋体"/>
          <w:sz w:val="24"/>
          <w:szCs w:val="24"/>
          <w:lang w:val="en-US" w:eastAsia="zh-CN"/>
        </w:rPr>
        <w:t>请各供应商将每个标段的标书按技术标和商务标分开装订密封，</w:t>
      </w:r>
      <w:r>
        <w:rPr>
          <w:rFonts w:hint="eastAsia" w:ascii="新宋体" w:hAnsi="新宋体" w:eastAsia="新宋体"/>
          <w:sz w:val="24"/>
          <w:szCs w:val="24"/>
        </w:rPr>
        <w:t>密封袋封面</w:t>
      </w:r>
      <w:r>
        <w:rPr>
          <w:rFonts w:hint="eastAsia" w:ascii="新宋体" w:hAnsi="新宋体" w:eastAsia="新宋体"/>
          <w:sz w:val="24"/>
          <w:szCs w:val="24"/>
          <w:lang w:val="en-US" w:eastAsia="zh-CN"/>
        </w:rPr>
        <w:t>处</w:t>
      </w:r>
      <w:r>
        <w:rPr>
          <w:rFonts w:hint="eastAsia" w:ascii="新宋体" w:hAnsi="新宋体" w:eastAsia="新宋体"/>
          <w:sz w:val="24"/>
          <w:szCs w:val="24"/>
        </w:rPr>
        <w:t>注明</w:t>
      </w:r>
      <w:r>
        <w:rPr>
          <w:rFonts w:hint="eastAsia" w:ascii="新宋体" w:hAnsi="新宋体" w:eastAsia="新宋体"/>
          <w:sz w:val="24"/>
          <w:szCs w:val="24"/>
          <w:lang w:val="en-US" w:eastAsia="zh-CN"/>
        </w:rPr>
        <w:t>标段、投标公司、</w:t>
      </w:r>
      <w:r>
        <w:rPr>
          <w:rFonts w:hint="eastAsia" w:ascii="新宋体" w:hAnsi="新宋体" w:eastAsia="新宋体"/>
          <w:sz w:val="24"/>
          <w:szCs w:val="24"/>
        </w:rPr>
        <w:t>技术标、</w:t>
      </w:r>
      <w:r>
        <w:rPr>
          <w:rFonts w:hint="eastAsia" w:ascii="新宋体" w:hAnsi="新宋体" w:eastAsia="新宋体"/>
          <w:sz w:val="24"/>
          <w:szCs w:val="24"/>
        </w:rPr>
        <w:fldChar w:fldCharType="begin"/>
      </w:r>
      <w:r>
        <w:rPr>
          <w:rFonts w:hint="eastAsia" w:ascii="新宋体" w:hAnsi="新宋体" w:eastAsia="新宋体"/>
          <w:sz w:val="24"/>
          <w:szCs w:val="24"/>
        </w:rPr>
        <w:instrText xml:space="preserve"> HYPERLINK "http://www.so.com/s?q=%E5%95%86%E5%8A%A1&amp;ie=utf-8&amp;src=internal_wenda_recommend_textn" \t "https://wenda.so.com/q/_blank" </w:instrText>
      </w:r>
      <w:r>
        <w:rPr>
          <w:rFonts w:hint="eastAsia" w:ascii="新宋体" w:hAnsi="新宋体" w:eastAsia="新宋体"/>
          <w:sz w:val="24"/>
          <w:szCs w:val="24"/>
        </w:rPr>
        <w:fldChar w:fldCharType="separate"/>
      </w:r>
      <w:r>
        <w:rPr>
          <w:rFonts w:hint="default" w:ascii="新宋体" w:hAnsi="新宋体" w:eastAsia="新宋体"/>
          <w:sz w:val="24"/>
          <w:szCs w:val="24"/>
        </w:rPr>
        <w:t>商务</w:t>
      </w:r>
      <w:r>
        <w:rPr>
          <w:rFonts w:hint="default" w:ascii="新宋体" w:hAnsi="新宋体" w:eastAsia="新宋体"/>
          <w:sz w:val="24"/>
          <w:szCs w:val="24"/>
        </w:rPr>
        <w:fldChar w:fldCharType="end"/>
      </w:r>
      <w:r>
        <w:rPr>
          <w:rFonts w:hint="eastAsia" w:ascii="新宋体" w:hAnsi="新宋体" w:eastAsia="新宋体"/>
          <w:sz w:val="24"/>
          <w:szCs w:val="24"/>
        </w:rPr>
        <w:t>标</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并在封标处盖章。请将标书</w:t>
      </w:r>
      <w:r>
        <w:rPr>
          <w:rFonts w:hint="eastAsia" w:ascii="宋体" w:hAnsi="宋体" w:cs="Arial"/>
          <w:sz w:val="24"/>
          <w:szCs w:val="24"/>
        </w:rPr>
        <w:t>寄送至义乌市中心医院行政楼一楼10</w:t>
      </w:r>
      <w:r>
        <w:rPr>
          <w:rFonts w:hint="eastAsia" w:ascii="宋体" w:hAnsi="宋体" w:cs="Arial"/>
          <w:sz w:val="24"/>
          <w:szCs w:val="24"/>
          <w:lang w:val="en-US" w:eastAsia="zh-CN"/>
        </w:rPr>
        <w:t>9</w:t>
      </w:r>
      <w:r>
        <w:rPr>
          <w:rFonts w:hint="eastAsia" w:ascii="宋体" w:hAnsi="宋体" w:cs="Arial"/>
          <w:sz w:val="24"/>
          <w:szCs w:val="24"/>
        </w:rPr>
        <w:t>室采购招标中心（江东中路699号）。联系</w:t>
      </w:r>
      <w:r>
        <w:rPr>
          <w:rFonts w:hint="eastAsia" w:ascii="宋体" w:hAnsi="宋体" w:cs="Arial"/>
          <w:sz w:val="24"/>
          <w:szCs w:val="24"/>
          <w:lang w:val="en-US" w:eastAsia="zh-CN"/>
        </w:rPr>
        <w:t>人：金老师，</w:t>
      </w:r>
      <w:r>
        <w:rPr>
          <w:rFonts w:hint="eastAsia" w:ascii="宋体" w:hAnsi="宋体" w:cs="Arial"/>
          <w:sz w:val="24"/>
          <w:szCs w:val="24"/>
        </w:rPr>
        <w:t>联系电话：0579-85208030</w:t>
      </w:r>
      <w:r>
        <w:rPr>
          <w:rFonts w:hint="eastAsia" w:ascii="新宋体" w:hAnsi="新宋体" w:eastAsia="新宋体"/>
          <w:sz w:val="24"/>
          <w:szCs w:val="24"/>
          <w:lang w:eastAsia="zh-CN"/>
        </w:rPr>
        <w:t>。</w:t>
      </w:r>
      <w:r>
        <w:rPr>
          <w:rFonts w:hint="eastAsia"/>
          <w:color w:val="0000FF"/>
          <w:sz w:val="24"/>
          <w:szCs w:val="24"/>
          <w:lang w:val="en-US" w:eastAsia="zh-CN"/>
        </w:rPr>
        <w:t>标书投递截止时间2023年12月1日 8时。</w:t>
      </w:r>
    </w:p>
    <w:p>
      <w:pPr>
        <w:pStyle w:val="2"/>
        <w:rPr>
          <w:rFonts w:hint="default" w:ascii="新宋体" w:hAnsi="新宋体" w:eastAsia="新宋体"/>
          <w:b/>
          <w:bCs/>
          <w:sz w:val="24"/>
          <w:szCs w:val="24"/>
          <w:lang w:val="en-US" w:eastAsia="zh-CN"/>
        </w:rPr>
      </w:pP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rPr>
      </w:pPr>
      <w:r>
        <w:rPr>
          <w:rFonts w:hint="eastAsia" w:ascii="新宋体" w:hAnsi="新宋体" w:eastAsia="新宋体"/>
          <w:b/>
          <w:bCs/>
          <w:sz w:val="24"/>
          <w:szCs w:val="24"/>
          <w:lang w:val="en-US" w:eastAsia="zh-CN"/>
        </w:rPr>
        <w:t>五</w:t>
      </w:r>
      <w:r>
        <w:rPr>
          <w:rFonts w:hint="eastAsia" w:ascii="新宋体" w:hAnsi="新宋体" w:eastAsia="新宋体"/>
          <w:b/>
          <w:bCs/>
          <w:sz w:val="24"/>
          <w:szCs w:val="24"/>
        </w:rPr>
        <w:t>、资质</w:t>
      </w:r>
      <w:r>
        <w:rPr>
          <w:rFonts w:hint="eastAsia" w:ascii="新宋体" w:hAnsi="新宋体" w:eastAsia="新宋体"/>
          <w:b/>
          <w:bCs/>
          <w:sz w:val="24"/>
          <w:szCs w:val="24"/>
          <w:lang w:val="en-US" w:eastAsia="zh-CN"/>
        </w:rPr>
        <w:t>及售后服务</w:t>
      </w:r>
      <w:r>
        <w:rPr>
          <w:rFonts w:hint="eastAsia" w:ascii="新宋体" w:hAnsi="新宋体" w:eastAsia="新宋体"/>
          <w:b/>
          <w:bCs/>
          <w:sz w:val="24"/>
          <w:szCs w:val="24"/>
        </w:rPr>
        <w:t>要求：</w:t>
      </w:r>
    </w:p>
    <w:p>
      <w:pPr>
        <w:pStyle w:val="13"/>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rPr>
      </w:pPr>
      <w:r>
        <w:rPr>
          <w:rFonts w:hint="eastAsia" w:ascii="宋体" w:hAnsi="宋体" w:cs="Arial"/>
          <w:sz w:val="24"/>
          <w:szCs w:val="24"/>
        </w:rPr>
        <w:t>1、</w:t>
      </w:r>
      <w:r>
        <w:rPr>
          <w:rFonts w:ascii="宋体" w:hAnsi="宋体" w:cs="宋体"/>
          <w:kern w:val="0"/>
          <w:sz w:val="24"/>
          <w:szCs w:val="24"/>
        </w:rPr>
        <w:t>符合《中华人民共和国政府采购法》第二十二条对供应商的要求。</w:t>
      </w:r>
    </w:p>
    <w:p>
      <w:pPr>
        <w:pStyle w:val="13"/>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具有本项目所需货物的服务能力，并能为招标人提供便捷的售后服务，本项目不接受联合体投标。</w:t>
      </w:r>
    </w:p>
    <w:p>
      <w:pPr>
        <w:pStyle w:val="13"/>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sz w:val="24"/>
          <w:szCs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13"/>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、该行业国家规定必备的资质、资格。</w:t>
      </w:r>
    </w:p>
    <w:p>
      <w:pPr>
        <w:pStyle w:val="13"/>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rPr>
        <w:t>投标单位应具有完善的销售供应和售后服务的保障体系，接到供货通知后,须</w:t>
      </w:r>
      <w:r>
        <w:rPr>
          <w:rFonts w:hint="eastAsia" w:asciiTheme="minorEastAsia" w:hAnsiTheme="minorEastAsia" w:eastAsiaTheme="minorEastAsia" w:cstheme="minorEastAsia"/>
          <w:color w:val="000000"/>
          <w:sz w:val="24"/>
          <w:lang w:val="en-US" w:eastAsia="zh-CN"/>
        </w:rPr>
        <w:t>72</w:t>
      </w:r>
      <w:r>
        <w:rPr>
          <w:rFonts w:hint="eastAsia" w:asciiTheme="minorEastAsia" w:hAnsiTheme="minorEastAsia" w:eastAsiaTheme="minorEastAsia" w:cstheme="minorEastAsia"/>
          <w:color w:val="000000"/>
          <w:sz w:val="24"/>
        </w:rPr>
        <w:t>小时内送货</w:t>
      </w:r>
      <w:r>
        <w:rPr>
          <w:rFonts w:hint="eastAsia" w:asciiTheme="minorEastAsia" w:hAnsiTheme="minorEastAsia" w:eastAsiaTheme="minorEastAsia" w:cstheme="minorEastAsia"/>
          <w:sz w:val="24"/>
        </w:rPr>
        <w:t>；加急物资需随叫随送。</w:t>
      </w:r>
    </w:p>
    <w:p>
      <w:pPr>
        <w:pStyle w:val="13"/>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产品送货当日距产品失效期</w:t>
      </w:r>
      <w:r>
        <w:rPr>
          <w:rFonts w:hint="eastAsia" w:asciiTheme="minorEastAsia" w:hAnsiTheme="minorEastAsia" w:eastAsiaTheme="minorEastAsia" w:cstheme="minorEastAsia"/>
          <w:color w:val="000000"/>
          <w:sz w:val="24"/>
        </w:rPr>
        <w:t>不小于6个月</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特殊试剂剩余有效期不得少于50%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w:t>
      </w:r>
    </w:p>
    <w:p>
      <w:pPr>
        <w:pStyle w:val="13"/>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配送由投标单位或投标单位委托的配送企业负责，并搬运</w:t>
      </w:r>
      <w:r>
        <w:rPr>
          <w:rFonts w:hint="eastAsia" w:asciiTheme="minorEastAsia" w:hAnsiTheme="minorEastAsia" w:eastAsiaTheme="minorEastAsia" w:cstheme="minorEastAsia"/>
          <w:sz w:val="24"/>
          <w:lang w:val="en-US" w:eastAsia="zh-CN"/>
        </w:rPr>
        <w:t>到指定位置</w:t>
      </w:r>
      <w:r>
        <w:rPr>
          <w:rFonts w:hint="eastAsia" w:asciiTheme="minorEastAsia" w:hAnsiTheme="minorEastAsia" w:eastAsiaTheme="minorEastAsia" w:cstheme="minorEastAsia"/>
          <w:sz w:val="24"/>
        </w:rPr>
        <w:t>；物品包装破损或质量有问题要求无条件更换。批间差必须符合产品说明书。</w:t>
      </w: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rPr>
      </w:pPr>
      <w:r>
        <w:rPr>
          <w:rFonts w:hint="eastAsia" w:ascii="新宋体" w:hAnsi="新宋体" w:eastAsia="新宋体"/>
          <w:b/>
          <w:bCs/>
          <w:sz w:val="24"/>
          <w:szCs w:val="24"/>
          <w:lang w:val="en-US" w:eastAsia="zh-CN"/>
        </w:rPr>
        <w:t>六</w:t>
      </w:r>
      <w:r>
        <w:rPr>
          <w:rFonts w:hint="eastAsia" w:ascii="新宋体" w:hAnsi="新宋体" w:eastAsia="新宋体"/>
          <w:b/>
          <w:bCs/>
          <w:sz w:val="24"/>
          <w:szCs w:val="24"/>
        </w:rPr>
        <w:t>、</w:t>
      </w:r>
      <w:r>
        <w:rPr>
          <w:rFonts w:hint="eastAsia" w:ascii="宋体" w:hAnsi="宋体" w:cs="宋体"/>
          <w:b/>
          <w:kern w:val="0"/>
          <w:sz w:val="24"/>
          <w:szCs w:val="24"/>
        </w:rPr>
        <w:t>投标文件的组成</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w:t>
      </w:r>
      <w:r>
        <w:rPr>
          <w:rFonts w:hint="eastAsia" w:ascii="宋体" w:hAnsi="宋体" w:cs="宋体"/>
          <w:b/>
          <w:bCs/>
          <w:color w:val="auto"/>
          <w:kern w:val="0"/>
          <w:sz w:val="24"/>
          <w:szCs w:val="24"/>
          <w:lang w:val="en-US" w:eastAsia="zh-CN"/>
        </w:rPr>
        <w:t>每个标段</w:t>
      </w:r>
      <w:r>
        <w:rPr>
          <w:rFonts w:hint="eastAsia" w:ascii="宋体" w:hAnsi="宋体" w:cs="宋体"/>
          <w:b/>
          <w:bCs/>
          <w:kern w:val="0"/>
          <w:sz w:val="24"/>
          <w:szCs w:val="24"/>
          <w:lang w:val="en-US" w:eastAsia="zh-CN"/>
        </w:rPr>
        <w:t>的</w:t>
      </w:r>
      <w:r>
        <w:rPr>
          <w:rFonts w:hint="eastAsia" w:ascii="宋体" w:hAnsi="宋体" w:cs="宋体"/>
          <w:b/>
          <w:bCs/>
          <w:kern w:val="0"/>
          <w:sz w:val="24"/>
          <w:szCs w:val="24"/>
        </w:rPr>
        <w:t>技术标和商务标分开制作，并单独密封包装。</w:t>
      </w:r>
      <w:r>
        <w:rPr>
          <w:rFonts w:ascii="宋体" w:hAnsi="宋体" w:cs="宋体"/>
          <w:b/>
          <w:bCs/>
          <w:kern w:val="0"/>
          <w:sz w:val="24"/>
          <w:szCs w:val="24"/>
        </w:rPr>
        <w:t>技术标（含资信与服务）不得含商务报价，否则作无效标处理。</w:t>
      </w:r>
    </w:p>
    <w:p>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一式三份，一正二副</w:t>
      </w:r>
      <w:r>
        <w:rPr>
          <w:rFonts w:hint="eastAsia" w:ascii="宋体" w:hAnsi="宋体" w:cs="宋体"/>
          <w:kern w:val="0"/>
          <w:sz w:val="24"/>
          <w:szCs w:val="24"/>
          <w:lang w:eastAsia="zh-CN"/>
        </w:rPr>
        <w:t>）</w:t>
      </w:r>
    </w:p>
    <w:p>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rPr>
      </w:pPr>
      <w:r>
        <w:rPr>
          <w:rFonts w:hint="eastAsia" w:hAnsi="宋体" w:cs="宋体"/>
          <w:kern w:val="0"/>
          <w:sz w:val="24"/>
          <w:szCs w:val="24"/>
        </w:rPr>
        <w:t>应包括下列内容(复印件需加盖单位公章，提供的所有证书应在有效期内)</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提供供应商相关资质（营业执照</w:t>
      </w:r>
      <w:r>
        <w:rPr>
          <w:rFonts w:hint="eastAsia" w:ascii="宋体" w:hAnsi="宋体" w:cs="宋体"/>
          <w:sz w:val="24"/>
          <w:szCs w:val="24"/>
          <w:lang w:eastAsia="zh-CN"/>
        </w:rPr>
        <w:t>、</w:t>
      </w:r>
      <w:r>
        <w:rPr>
          <w:rFonts w:hint="eastAsia" w:ascii="宋体" w:hAnsi="宋体" w:cs="宋体"/>
          <w:sz w:val="24"/>
          <w:szCs w:val="24"/>
          <w:lang w:val="en-US" w:eastAsia="zh-CN"/>
        </w:rPr>
        <w:t>产品授权书</w:t>
      </w:r>
      <w:r>
        <w:rPr>
          <w:rFonts w:hint="eastAsia" w:ascii="宋体" w:hAnsi="宋体" w:cs="宋体"/>
          <w:b w:val="0"/>
          <w:bCs w:val="0"/>
          <w:sz w:val="24"/>
          <w:szCs w:val="24"/>
          <w:lang w:val="en-US" w:eastAsia="zh-CN"/>
        </w:rPr>
        <w:t>等</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ascii="宋体" w:hAnsi="宋体" w:eastAsia="宋体" w:cs="宋体"/>
          <w:sz w:val="24"/>
          <w:szCs w:val="24"/>
        </w:rPr>
        <w:t>供应商</w:t>
      </w:r>
      <w:r>
        <w:rPr>
          <w:rFonts w:hint="eastAsia" w:ascii="宋体" w:hAnsi="宋体" w:eastAsia="宋体" w:cs="宋体"/>
          <w:sz w:val="24"/>
          <w:szCs w:val="24"/>
          <w:lang w:val="en-US" w:eastAsia="zh-CN"/>
        </w:rPr>
        <w:t>法定代表人身份证复印件、</w:t>
      </w:r>
      <w:r>
        <w:rPr>
          <w:rFonts w:ascii="宋体" w:hAnsi="宋体" w:eastAsia="宋体" w:cs="宋体"/>
          <w:sz w:val="24"/>
          <w:szCs w:val="24"/>
        </w:rPr>
        <w:t>授权委托书及</w:t>
      </w:r>
      <w:r>
        <w:rPr>
          <w:rFonts w:hint="eastAsia" w:ascii="宋体" w:hAnsi="宋体" w:eastAsia="宋体" w:cs="宋体"/>
          <w:sz w:val="24"/>
          <w:szCs w:val="24"/>
          <w:lang w:val="en-US" w:eastAsia="zh-CN"/>
        </w:rPr>
        <w:t>授权代表</w:t>
      </w:r>
      <w:r>
        <w:rPr>
          <w:rFonts w:ascii="宋体" w:hAnsi="宋体" w:eastAsia="宋体" w:cs="宋体"/>
          <w:sz w:val="24"/>
          <w:szCs w:val="24"/>
        </w:rPr>
        <w:t>身份证复印件</w:t>
      </w:r>
      <w:r>
        <w:rPr>
          <w:rFonts w:hint="eastAsia" w:ascii="宋体" w:hAnsi="宋体" w:eastAsia="宋体" w:cs="宋体"/>
          <w:sz w:val="24"/>
          <w:szCs w:val="24"/>
          <w:lang w:eastAsia="zh-CN"/>
        </w:rPr>
        <w:t>；</w:t>
      </w:r>
    </w:p>
    <w:p>
      <w:pPr>
        <w:pStyle w:val="2"/>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lang w:val="en-US" w:eastAsia="zh-CN"/>
        </w:rPr>
        <w:t>附件2：投标产品清单；彩页。</w:t>
      </w:r>
    </w:p>
    <w:p>
      <w:pPr>
        <w:pStyle w:val="2"/>
      </w:pPr>
      <w:r>
        <w:rPr>
          <w:rFonts w:hint="eastAsia" w:ascii="宋体" w:hAnsi="宋体" w:cs="宋体"/>
          <w:sz w:val="24"/>
          <w:szCs w:val="24"/>
          <w:lang w:val="en-US" w:eastAsia="zh-CN"/>
        </w:rPr>
        <w:t>（4）省平台配送目录截图或配送证明（省标产品）</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用户名单（注明三级以上医院</w:t>
      </w:r>
      <w:r>
        <w:rPr>
          <w:rFonts w:hint="eastAsia" w:ascii="宋体" w:hAnsi="宋体" w:eastAsia="宋体" w:cs="宋体"/>
          <w:sz w:val="24"/>
          <w:szCs w:val="24"/>
        </w:rPr>
        <w:t>）；</w:t>
      </w:r>
      <w:r>
        <w:rPr>
          <w:rFonts w:hint="eastAsia" w:ascii="宋体" w:hAnsi="宋体" w:cs="宋体"/>
          <w:sz w:val="24"/>
          <w:szCs w:val="24"/>
          <w:lang w:val="en-US" w:eastAsia="zh-CN"/>
        </w:rPr>
        <w:t>近期成交合同或发票复件。</w:t>
      </w:r>
    </w:p>
    <w:p>
      <w:pPr>
        <w:pStyle w:val="2"/>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6</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样品：所有标段需提供样品，样品包装注明标段和投标公司。</w:t>
      </w:r>
    </w:p>
    <w:p>
      <w:pPr>
        <w:pStyle w:val="2"/>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（7）生产企业质量认证体系证书：1国内（医疗器械质量管理体系认证/通用质量管理体系认证）2国外（FDA/GE/GS/TUV）。</w:t>
      </w:r>
    </w:p>
    <w:p>
      <w:pPr>
        <w:pStyle w:val="2"/>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（8）产品抽检情况。</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lang w:val="en-US" w:eastAsia="zh-CN"/>
        </w:rPr>
      </w:pPr>
      <w:r>
        <w:rPr>
          <w:rFonts w:hint="eastAsia" w:ascii="宋体" w:hAnsi="宋体" w:cs="宋体"/>
          <w:kern w:val="0"/>
          <w:sz w:val="24"/>
          <w:szCs w:val="24"/>
        </w:rPr>
        <w:t>（</w:t>
      </w:r>
      <w:r>
        <w:rPr>
          <w:rFonts w:hint="eastAsia" w:ascii="宋体" w:hAnsi="宋体" w:cs="宋体"/>
          <w:kern w:val="0"/>
          <w:sz w:val="24"/>
          <w:szCs w:val="24"/>
          <w:lang w:val="en-US" w:eastAsia="zh-CN"/>
        </w:rPr>
        <w:t>1</w:t>
      </w:r>
      <w:r>
        <w:rPr>
          <w:rFonts w:hint="eastAsia" w:ascii="宋体" w:hAnsi="宋体" w:cs="宋体"/>
          <w:kern w:val="0"/>
          <w:sz w:val="24"/>
          <w:szCs w:val="24"/>
        </w:rPr>
        <w:t>）报价一览表（附件</w:t>
      </w:r>
      <w:r>
        <w:rPr>
          <w:rFonts w:hint="eastAsia" w:ascii="宋体" w:hAnsi="宋体" w:cs="宋体"/>
          <w:kern w:val="0"/>
          <w:sz w:val="24"/>
          <w:szCs w:val="24"/>
          <w:lang w:val="en-US" w:eastAsia="zh-CN"/>
        </w:rPr>
        <w:t>一</w:t>
      </w:r>
      <w:r>
        <w:rPr>
          <w:rFonts w:hint="eastAsia" w:ascii="宋体" w:hAnsi="宋体" w:cs="宋体"/>
          <w:kern w:val="0"/>
          <w:sz w:val="24"/>
          <w:szCs w:val="24"/>
        </w:rPr>
        <w:t>）</w:t>
      </w:r>
      <w:r>
        <w:rPr>
          <w:rFonts w:hint="eastAsia" w:ascii="新宋体" w:hAnsi="新宋体" w:eastAsia="新宋体"/>
          <w:sz w:val="24"/>
          <w:szCs w:val="24"/>
        </w:rPr>
        <w:t xml:space="preserve">  </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2"/>
          <w:rFonts w:hint="eastAsia" w:ascii="宋体" w:hAnsi="宋体" w:cs="宋体"/>
          <w:sz w:val="24"/>
          <w:szCs w:val="24"/>
        </w:rPr>
      </w:pPr>
      <w:r>
        <w:rPr>
          <w:rFonts w:hint="eastAsia" w:ascii="新宋体" w:hAnsi="新宋体" w:eastAsia="新宋体"/>
          <w:b/>
          <w:bCs/>
          <w:sz w:val="24"/>
          <w:szCs w:val="24"/>
          <w:lang w:val="en-US" w:eastAsia="zh-CN"/>
        </w:rPr>
        <w:t>七、标书投递</w:t>
      </w:r>
      <w:r>
        <w:rPr>
          <w:rFonts w:hint="eastAsia" w:ascii="新宋体" w:hAnsi="新宋体" w:eastAsia="新宋体"/>
          <w:b/>
          <w:bCs/>
          <w:sz w:val="24"/>
          <w:szCs w:val="24"/>
        </w:rPr>
        <w:t>截止时间</w:t>
      </w:r>
      <w:r>
        <w:rPr>
          <w:rFonts w:hint="eastAsia" w:ascii="新宋体" w:hAnsi="新宋体" w:eastAsia="新宋体"/>
          <w:b/>
          <w:bCs/>
          <w:sz w:val="24"/>
          <w:szCs w:val="24"/>
          <w:lang w:eastAsia="zh-CN"/>
        </w:rPr>
        <w:t>、</w:t>
      </w:r>
      <w:r>
        <w:rPr>
          <w:rStyle w:val="12"/>
          <w:rFonts w:hint="eastAsia" w:ascii="宋体" w:hAnsi="宋体" w:cs="宋体"/>
          <w:sz w:val="24"/>
          <w:szCs w:val="24"/>
        </w:rPr>
        <w:t>开标时间及地址</w:t>
      </w:r>
      <w:r>
        <w:rPr>
          <w:rFonts w:hint="eastAsia" w:ascii="新宋体" w:hAnsi="新宋体" w:eastAsia="新宋体"/>
          <w:b/>
          <w:bCs/>
          <w:sz w:val="24"/>
          <w:szCs w:val="24"/>
        </w:rPr>
        <w:t>：</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本次招标采用不见面招标，本项目开标时间：2023年12月1日9时。开标地址：义乌市中心医院行政楼1楼109室。</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lang w:val="en-US" w:eastAsia="zh-CN"/>
        </w:rPr>
      </w:pPr>
      <w:r>
        <w:rPr>
          <w:rFonts w:hint="eastAsia" w:ascii="新宋体" w:hAnsi="新宋体" w:eastAsia="新宋体"/>
          <w:sz w:val="24"/>
          <w:szCs w:val="24"/>
          <w:lang w:val="en-US" w:eastAsia="zh-CN"/>
        </w:rPr>
        <w:t>八、附件</w:t>
      </w:r>
      <w:r>
        <w:rPr>
          <w:rFonts w:hint="eastAsia" w:ascii="新宋体" w:hAnsi="新宋体" w:eastAsia="新宋体"/>
          <w:sz w:val="24"/>
          <w:szCs w:val="24"/>
          <w:lang w:val="en-US" w:eastAsia="zh-CN"/>
        </w:rPr>
        <w:br w:type="textWrapping"/>
      </w:r>
      <w:r>
        <w:rPr>
          <w:rFonts w:hint="eastAsia"/>
        </w:rPr>
        <w:t xml:space="preserve">附件1：《报价一览表》。  </w:t>
      </w:r>
      <w:r>
        <w:rPr>
          <w:rFonts w:hint="eastAsia" w:ascii="新宋体" w:hAnsi="新宋体" w:eastAsia="新宋体"/>
          <w:szCs w:val="24"/>
          <w:lang w:val="en-US" w:eastAsia="zh-CN"/>
        </w:rPr>
        <w:t xml:space="preserve">   </w:t>
      </w:r>
    </w:p>
    <w:p>
      <w:pPr>
        <w:ind w:left="7280" w:hanging="6240" w:hangingChars="2600"/>
        <w:jc w:val="left"/>
        <w:rPr>
          <w:rFonts w:hint="eastAsia" w:ascii="新宋体" w:hAnsi="新宋体" w:eastAsia="新宋体"/>
          <w:sz w:val="24"/>
          <w:szCs w:val="24"/>
          <w:lang w:val="en-US" w:eastAsia="zh-CN"/>
        </w:rPr>
      </w:pPr>
    </w:p>
    <w:p>
      <w:pPr>
        <w:ind w:left="7280" w:hanging="6240" w:hangingChars="2600"/>
        <w:jc w:val="left"/>
        <w:rPr>
          <w:rFonts w:hint="eastAsia" w:ascii="新宋体" w:hAnsi="新宋体" w:eastAsia="新宋体"/>
          <w:sz w:val="24"/>
          <w:szCs w:val="24"/>
          <w:lang w:val="en-US" w:eastAsia="zh-CN"/>
        </w:rPr>
      </w:pPr>
    </w:p>
    <w:p>
      <w:pPr>
        <w:pStyle w:val="2"/>
        <w:rPr>
          <w:rFonts w:hint="eastAsia"/>
          <w:lang w:val="en-US" w:eastAsia="zh-CN"/>
        </w:rPr>
      </w:pPr>
    </w:p>
    <w:p>
      <w:pPr>
        <w:pStyle w:val="2"/>
        <w:rPr>
          <w:rFonts w:hint="eastAsia" w:ascii="新宋体" w:hAnsi="新宋体" w:eastAsia="新宋体"/>
          <w:sz w:val="24"/>
          <w:szCs w:val="24"/>
          <w:lang w:val="en-US" w:eastAsia="zh-CN"/>
        </w:rPr>
      </w:pPr>
    </w:p>
    <w:p>
      <w:pPr>
        <w:pStyle w:val="2"/>
        <w:rPr>
          <w:rFonts w:hint="eastAsia" w:ascii="新宋体" w:hAnsi="新宋体" w:eastAsia="新宋体"/>
          <w:sz w:val="24"/>
          <w:szCs w:val="24"/>
          <w:lang w:val="en-US" w:eastAsia="zh-CN"/>
        </w:rPr>
      </w:pPr>
    </w:p>
    <w:p>
      <w:pPr>
        <w:pStyle w:val="2"/>
        <w:rPr>
          <w:rFonts w:hint="eastAsia" w:ascii="新宋体" w:hAnsi="新宋体" w:eastAsia="新宋体"/>
          <w:sz w:val="24"/>
          <w:szCs w:val="24"/>
          <w:lang w:val="en-US" w:eastAsia="zh-CN"/>
        </w:rPr>
      </w:pPr>
    </w:p>
    <w:p>
      <w:pPr>
        <w:ind w:firstLine="6000" w:firstLineChars="2500"/>
        <w:jc w:val="left"/>
        <w:rPr>
          <w:rFonts w:hint="eastAsia" w:ascii="新宋体" w:hAnsi="新宋体" w:eastAsia="新宋体"/>
          <w:sz w:val="24"/>
          <w:szCs w:val="24"/>
        </w:rPr>
      </w:pPr>
      <w:r>
        <w:rPr>
          <w:rFonts w:hint="eastAsia" w:ascii="新宋体" w:hAnsi="新宋体" w:eastAsia="新宋体"/>
          <w:sz w:val="24"/>
          <w:szCs w:val="24"/>
        </w:rPr>
        <w:t xml:space="preserve">义乌市中心医院                     </w:t>
      </w:r>
    </w:p>
    <w:p>
      <w:pPr>
        <w:ind w:left="7280" w:hanging="6240" w:hangingChars="2600"/>
        <w:rPr>
          <w:rFonts w:hint="eastAsia" w:ascii="新宋体" w:hAnsi="新宋体" w:eastAsia="新宋体"/>
          <w:sz w:val="24"/>
          <w:szCs w:val="24"/>
        </w:rPr>
      </w:pPr>
    </w:p>
    <w:p>
      <w:pPr>
        <w:ind w:left="7280" w:hanging="6240" w:hangingChars="2600"/>
        <w:rPr>
          <w:sz w:val="28"/>
          <w:szCs w:val="28"/>
        </w:rPr>
      </w:pPr>
      <w:r>
        <w:rPr>
          <w:rFonts w:hint="eastAsia" w:ascii="新宋体" w:hAnsi="新宋体" w:eastAsia="新宋体"/>
          <w:sz w:val="24"/>
          <w:szCs w:val="24"/>
        </w:rPr>
        <w:t xml:space="preserve">               </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202</w:t>
      </w:r>
      <w:r>
        <w:rPr>
          <w:rFonts w:hint="eastAsia" w:ascii="新宋体" w:hAnsi="新宋体" w:eastAsia="新宋体"/>
          <w:sz w:val="24"/>
          <w:szCs w:val="24"/>
          <w:lang w:val="en-US" w:eastAsia="zh-CN"/>
        </w:rPr>
        <w:t>3</w:t>
      </w:r>
      <w:r>
        <w:rPr>
          <w:rFonts w:hint="eastAsia" w:ascii="新宋体" w:hAnsi="新宋体" w:eastAsia="新宋体"/>
          <w:sz w:val="24"/>
          <w:szCs w:val="24"/>
        </w:rPr>
        <w:t>年</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月</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 xml:space="preserve">日  </w:t>
      </w:r>
      <w:r>
        <w:rPr>
          <w:rFonts w:hint="eastAsia" w:ascii="新宋体" w:hAnsi="新宋体" w:eastAsia="新宋体"/>
          <w:sz w:val="21"/>
          <w:szCs w:val="21"/>
        </w:rPr>
        <w:t xml:space="preserve"> </w:t>
      </w:r>
      <w:r>
        <w:rPr>
          <w:rFonts w:hint="eastAsia" w:ascii="新宋体" w:hAnsi="新宋体" w:eastAsia="新宋体"/>
          <w:sz w:val="28"/>
          <w:szCs w:val="28"/>
        </w:rPr>
        <w:t xml:space="preserve">                                                    </w:t>
      </w:r>
    </w:p>
    <w:p>
      <w:pPr>
        <w:rPr>
          <w:rFonts w:hint="eastAsia"/>
        </w:rPr>
      </w:pPr>
      <w:r>
        <w:rPr>
          <w:rFonts w:hint="eastAsia"/>
        </w:rPr>
        <w:br w:type="page"/>
      </w:r>
    </w:p>
    <w:p>
      <w:pPr>
        <w:pStyle w:val="14"/>
        <w:rPr>
          <w:rFonts w:hint="eastAsia"/>
        </w:rPr>
      </w:pPr>
    </w:p>
    <w:p>
      <w:pPr>
        <w:pStyle w:val="14"/>
        <w:rPr>
          <w:rFonts w:hint="eastAsia"/>
        </w:rPr>
      </w:pPr>
    </w:p>
    <w:p>
      <w:pPr>
        <w:spacing w:line="380" w:lineRule="exact"/>
        <w:rPr>
          <w:rFonts w:hint="eastAsia" w:ascii="新宋体" w:hAnsi="新宋体" w:eastAsia="新宋体"/>
          <w:b/>
          <w:bCs/>
          <w:sz w:val="22"/>
          <w:szCs w:val="22"/>
        </w:rPr>
      </w:pPr>
      <w:r>
        <w:rPr>
          <w:rFonts w:hint="eastAsia" w:ascii="新宋体" w:hAnsi="新宋体" w:eastAsia="新宋体"/>
          <w:b/>
          <w:bCs/>
          <w:sz w:val="28"/>
          <w:szCs w:val="28"/>
        </w:rPr>
        <w:t xml:space="preserve">附件1               </w:t>
      </w:r>
      <w:r>
        <w:rPr>
          <w:rFonts w:hint="eastAsia" w:ascii="新宋体" w:hAnsi="新宋体" w:eastAsia="新宋体"/>
          <w:sz w:val="22"/>
          <w:szCs w:val="22"/>
        </w:rPr>
        <w:t xml:space="preserve">    </w:t>
      </w:r>
    </w:p>
    <w:tbl>
      <w:tblPr>
        <w:tblStyle w:val="9"/>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pPr>
              <w:spacing w:line="380" w:lineRule="exact"/>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pPr>
              <w:spacing w:line="380" w:lineRule="exact"/>
              <w:rPr>
                <w:rFonts w:hint="eastAsia" w:ascii="新宋体" w:hAnsi="新宋体" w:eastAsia="新宋体"/>
                <w:b/>
                <w:bCs/>
                <w:sz w:val="22"/>
                <w:szCs w:val="22"/>
              </w:rPr>
            </w:pPr>
          </w:p>
        </w:tc>
      </w:tr>
    </w:tbl>
    <w:p>
      <w:pPr>
        <w:jc w:val="center"/>
        <w:rPr>
          <w:b/>
          <w:bCs/>
          <w:sz w:val="36"/>
        </w:rPr>
      </w:pPr>
      <w:r>
        <w:rPr>
          <w:rFonts w:hAnsi="宋体"/>
          <w:b/>
          <w:bCs/>
          <w:sz w:val="36"/>
        </w:rPr>
        <w:t>报价一览表</w:t>
      </w:r>
    </w:p>
    <w:p>
      <w:pPr>
        <w:rPr>
          <w:rFonts w:hAnsi="宋体"/>
          <w:sz w:val="24"/>
        </w:rPr>
      </w:pPr>
    </w:p>
    <w:p>
      <w:pPr>
        <w:rPr>
          <w:sz w:val="24"/>
        </w:rPr>
      </w:pPr>
      <w:r>
        <w:rPr>
          <w:rFonts w:hAnsi="宋体"/>
          <w:sz w:val="24"/>
        </w:rPr>
        <w:t>投标人名称（盖章）：</w:t>
      </w:r>
      <w:r>
        <w:rPr>
          <w:sz w:val="24"/>
          <w:u w:val="single"/>
        </w:rPr>
        <w:t xml:space="preserve">                    </w:t>
      </w:r>
      <w:r>
        <w:rPr>
          <w:sz w:val="24"/>
        </w:rPr>
        <w:t xml:space="preserve">      </w:t>
      </w:r>
    </w:p>
    <w:p>
      <w:pPr>
        <w:rPr>
          <w:sz w:val="24"/>
        </w:rPr>
      </w:pPr>
    </w:p>
    <w:tbl>
      <w:tblPr>
        <w:tblStyle w:val="9"/>
        <w:tblpPr w:leftFromText="180" w:rightFromText="180" w:vertAnchor="text" w:horzAnchor="page" w:tblpX="1419" w:tblpY="311"/>
        <w:tblOverlap w:val="never"/>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30"/>
        <w:gridCol w:w="1676"/>
        <w:gridCol w:w="1454"/>
        <w:gridCol w:w="2187"/>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43" w:type="dxa"/>
            <w:noWrap w:val="0"/>
            <w:vAlign w:val="center"/>
          </w:tcPr>
          <w:p>
            <w:pPr>
              <w:jc w:val="center"/>
              <w:rPr>
                <w:rFonts w:ascii="Times New Roman" w:hAnsi="Times New Roman"/>
                <w:sz w:val="24"/>
              </w:rPr>
            </w:pPr>
          </w:p>
          <w:p>
            <w:pPr>
              <w:jc w:val="center"/>
              <w:rPr>
                <w:rFonts w:hint="eastAsia" w:ascii="Times New Roman" w:hAnsi="Times New Roman" w:eastAsia="宋体"/>
                <w:sz w:val="24"/>
                <w:lang w:eastAsia="zh-CN"/>
              </w:rPr>
            </w:pPr>
            <w:r>
              <w:rPr>
                <w:rFonts w:hint="eastAsia" w:ascii="Times New Roman" w:hAnsi="Times New Roman"/>
                <w:sz w:val="24"/>
                <w:lang w:val="en-US" w:eastAsia="zh-CN"/>
              </w:rPr>
              <w:t>标段</w:t>
            </w:r>
          </w:p>
        </w:tc>
        <w:tc>
          <w:tcPr>
            <w:tcW w:w="1230" w:type="dxa"/>
            <w:noWrap w:val="0"/>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序号</w:t>
            </w:r>
          </w:p>
        </w:tc>
        <w:tc>
          <w:tcPr>
            <w:tcW w:w="1676" w:type="dxa"/>
            <w:noWrap w:val="0"/>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耗材</w:t>
            </w:r>
            <w:r>
              <w:rPr>
                <w:rFonts w:ascii="Times New Roman" w:hAnsi="Times New Roman"/>
                <w:sz w:val="24"/>
              </w:rPr>
              <w:t>名称</w:t>
            </w:r>
          </w:p>
        </w:tc>
        <w:tc>
          <w:tcPr>
            <w:tcW w:w="1454" w:type="dxa"/>
            <w:noWrap w:val="0"/>
            <w:vAlign w:val="center"/>
          </w:tcPr>
          <w:p>
            <w:pPr>
              <w:jc w:val="center"/>
              <w:rPr>
                <w:rFonts w:hint="eastAsia" w:ascii="Times New Roman" w:hAnsi="Times New Roman"/>
                <w:sz w:val="24"/>
                <w:lang w:val="en-US" w:eastAsia="zh-CN"/>
              </w:rPr>
            </w:pPr>
            <w:r>
              <w:rPr>
                <w:rFonts w:hint="eastAsia" w:ascii="Times New Roman" w:hAnsi="Times New Roman"/>
                <w:sz w:val="24"/>
                <w:lang w:val="en-US" w:eastAsia="zh-CN"/>
              </w:rPr>
              <w:t>品牌</w:t>
            </w:r>
          </w:p>
        </w:tc>
        <w:tc>
          <w:tcPr>
            <w:tcW w:w="2187" w:type="dxa"/>
            <w:noWrap w:val="0"/>
            <w:vAlign w:val="center"/>
          </w:tcPr>
          <w:p>
            <w:pPr>
              <w:jc w:val="center"/>
              <w:rPr>
                <w:rFonts w:hint="eastAsia" w:ascii="Times New Roman" w:hAnsi="Times New Roman"/>
                <w:sz w:val="24"/>
                <w:lang w:val="en-US" w:eastAsia="zh-CN"/>
              </w:rPr>
            </w:pPr>
            <w:r>
              <w:rPr>
                <w:rFonts w:hint="eastAsia" w:ascii="Times New Roman" w:hAnsi="Times New Roman"/>
                <w:sz w:val="24"/>
                <w:lang w:val="en-US" w:eastAsia="zh-CN"/>
              </w:rPr>
              <w:t>规格、型号</w:t>
            </w:r>
          </w:p>
          <w:p>
            <w:pPr>
              <w:jc w:val="center"/>
              <w:rPr>
                <w:rFonts w:hint="default" w:ascii="Times New Roman" w:hAnsi="Times New Roman"/>
                <w:sz w:val="24"/>
                <w:lang w:val="en-US" w:eastAsia="zh-CN"/>
              </w:rPr>
            </w:pPr>
            <w:r>
              <w:rPr>
                <w:rFonts w:hint="eastAsia" w:ascii="Times New Roman" w:hAnsi="Times New Roman"/>
                <w:sz w:val="24"/>
                <w:lang w:val="en-US" w:eastAsia="zh-CN"/>
              </w:rPr>
              <w:t>（列明所有规格）</w:t>
            </w:r>
          </w:p>
        </w:tc>
        <w:tc>
          <w:tcPr>
            <w:tcW w:w="1427" w:type="dxa"/>
            <w:noWrap w:val="0"/>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价格/元</w:t>
            </w:r>
          </w:p>
        </w:tc>
        <w:tc>
          <w:tcPr>
            <w:tcW w:w="1427" w:type="dxa"/>
            <w:noWrap w:val="0"/>
            <w:vAlign w:val="center"/>
          </w:tcPr>
          <w:p>
            <w:pPr>
              <w:jc w:val="center"/>
              <w:rPr>
                <w:rFonts w:hint="eastAsia" w:ascii="Times New Roman" w:hAnsi="Times New Roman"/>
                <w:sz w:val="24"/>
                <w:lang w:val="en-US" w:eastAsia="zh-CN"/>
              </w:rPr>
            </w:pPr>
            <w:r>
              <w:rPr>
                <w:rFonts w:hint="eastAsia" w:ascii="Times New Roman" w:hAnsi="Times New Roman"/>
                <w:sz w:val="24"/>
                <w:lang w:val="en-US" w:eastAsia="zh-CN"/>
              </w:rPr>
              <w:t>省标代码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3" w:type="dxa"/>
            <w:vMerge w:val="restart"/>
            <w:noWrap w:val="0"/>
            <w:vAlign w:val="center"/>
          </w:tcPr>
          <w:p>
            <w:pPr>
              <w:jc w:val="center"/>
              <w:rPr>
                <w:rFonts w:ascii="Times New Roman" w:hAnsi="Times New Roman"/>
                <w:sz w:val="24"/>
              </w:rPr>
            </w:pPr>
            <w:r>
              <w:rPr>
                <w:rFonts w:ascii="Times New Roman" w:hAnsi="Times New Roman"/>
                <w:sz w:val="24"/>
              </w:rPr>
              <w:t>1</w:t>
            </w:r>
          </w:p>
        </w:tc>
        <w:tc>
          <w:tcPr>
            <w:tcW w:w="1230" w:type="dxa"/>
            <w:noWrap w:val="0"/>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1676" w:type="dxa"/>
            <w:noWrap w:val="0"/>
            <w:vAlign w:val="center"/>
          </w:tcPr>
          <w:p>
            <w:pPr>
              <w:jc w:val="center"/>
              <w:rPr>
                <w:rFonts w:ascii="Times New Roman" w:hAnsi="Times New Roman"/>
                <w:sz w:val="24"/>
              </w:rPr>
            </w:pPr>
          </w:p>
        </w:tc>
        <w:tc>
          <w:tcPr>
            <w:tcW w:w="1454" w:type="dxa"/>
            <w:noWrap w:val="0"/>
            <w:vAlign w:val="center"/>
          </w:tcPr>
          <w:p>
            <w:pPr>
              <w:jc w:val="center"/>
              <w:rPr>
                <w:rFonts w:ascii="Times New Roman" w:hAnsi="Times New Roman"/>
                <w:sz w:val="24"/>
              </w:rPr>
            </w:pPr>
          </w:p>
        </w:tc>
        <w:tc>
          <w:tcPr>
            <w:tcW w:w="2187" w:type="dxa"/>
            <w:noWrap w:val="0"/>
            <w:vAlign w:val="center"/>
          </w:tcPr>
          <w:p>
            <w:pPr>
              <w:jc w:val="center"/>
              <w:rPr>
                <w:rFonts w:ascii="Times New Roman" w:hAnsi="Times New Roman"/>
                <w:sz w:val="24"/>
              </w:rPr>
            </w:pPr>
          </w:p>
        </w:tc>
        <w:tc>
          <w:tcPr>
            <w:tcW w:w="1427" w:type="dxa"/>
            <w:noWrap w:val="0"/>
            <w:vAlign w:val="center"/>
          </w:tcPr>
          <w:p>
            <w:pPr>
              <w:jc w:val="center"/>
              <w:rPr>
                <w:rFonts w:ascii="Times New Roman" w:hAnsi="Times New Roman"/>
                <w:sz w:val="24"/>
              </w:rPr>
            </w:pPr>
          </w:p>
        </w:tc>
        <w:tc>
          <w:tcPr>
            <w:tcW w:w="1427"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3" w:type="dxa"/>
            <w:vMerge w:val="continue"/>
            <w:noWrap w:val="0"/>
            <w:vAlign w:val="center"/>
          </w:tcPr>
          <w:p>
            <w:pPr>
              <w:jc w:val="center"/>
              <w:rPr>
                <w:rFonts w:hint="eastAsia" w:ascii="Times New Roman" w:hAnsi="Times New Roman" w:eastAsia="宋体"/>
                <w:sz w:val="24"/>
                <w:lang w:val="en-US" w:eastAsia="zh-CN"/>
              </w:rPr>
            </w:pPr>
          </w:p>
        </w:tc>
        <w:tc>
          <w:tcPr>
            <w:tcW w:w="1230" w:type="dxa"/>
            <w:noWrap w:val="0"/>
            <w:vAlign w:val="center"/>
          </w:tcPr>
          <w:p>
            <w:pPr>
              <w:jc w:val="center"/>
              <w:rPr>
                <w:rFonts w:hint="eastAsia" w:ascii="Times New Roman" w:hAnsi="Times New Roman" w:eastAsia="宋体"/>
                <w:sz w:val="24"/>
                <w:lang w:val="en-US" w:eastAsia="zh-CN"/>
              </w:rPr>
            </w:pPr>
          </w:p>
        </w:tc>
        <w:tc>
          <w:tcPr>
            <w:tcW w:w="1676" w:type="dxa"/>
            <w:noWrap w:val="0"/>
            <w:vAlign w:val="center"/>
          </w:tcPr>
          <w:p>
            <w:pPr>
              <w:jc w:val="center"/>
              <w:rPr>
                <w:rFonts w:ascii="Times New Roman" w:hAnsi="Times New Roman"/>
                <w:sz w:val="24"/>
              </w:rPr>
            </w:pPr>
          </w:p>
        </w:tc>
        <w:tc>
          <w:tcPr>
            <w:tcW w:w="1454" w:type="dxa"/>
            <w:noWrap w:val="0"/>
            <w:vAlign w:val="center"/>
          </w:tcPr>
          <w:p>
            <w:pPr>
              <w:jc w:val="center"/>
              <w:rPr>
                <w:rFonts w:ascii="Times New Roman" w:hAnsi="Times New Roman"/>
                <w:sz w:val="24"/>
              </w:rPr>
            </w:pPr>
          </w:p>
        </w:tc>
        <w:tc>
          <w:tcPr>
            <w:tcW w:w="2187" w:type="dxa"/>
            <w:noWrap w:val="0"/>
            <w:vAlign w:val="center"/>
          </w:tcPr>
          <w:p>
            <w:pPr>
              <w:jc w:val="center"/>
              <w:rPr>
                <w:rFonts w:ascii="Times New Roman" w:hAnsi="Times New Roman"/>
                <w:sz w:val="24"/>
              </w:rPr>
            </w:pPr>
          </w:p>
        </w:tc>
        <w:tc>
          <w:tcPr>
            <w:tcW w:w="1427" w:type="dxa"/>
            <w:noWrap w:val="0"/>
            <w:vAlign w:val="center"/>
          </w:tcPr>
          <w:p>
            <w:pPr>
              <w:jc w:val="center"/>
              <w:rPr>
                <w:rFonts w:ascii="Times New Roman" w:hAnsi="Times New Roman"/>
                <w:sz w:val="24"/>
              </w:rPr>
            </w:pPr>
          </w:p>
        </w:tc>
        <w:tc>
          <w:tcPr>
            <w:tcW w:w="1427"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9944" w:type="dxa"/>
            <w:gridSpan w:val="7"/>
            <w:noWrap w:val="0"/>
            <w:vAlign w:val="top"/>
          </w:tcPr>
          <w:p>
            <w:pPr>
              <w:pStyle w:val="3"/>
              <w:rPr>
                <w:rFonts w:hint="eastAsia"/>
                <w:lang w:val="en-US" w:eastAsia="zh-CN"/>
              </w:rPr>
            </w:pPr>
            <w:r>
              <w:rPr>
                <w:rFonts w:hint="eastAsia"/>
                <w:lang w:val="en-US" w:eastAsia="zh-CN"/>
              </w:rPr>
              <w:t>备注：</w:t>
            </w:r>
          </w:p>
        </w:tc>
      </w:tr>
    </w:tbl>
    <w:p>
      <w:pPr>
        <w:rPr>
          <w:sz w:val="24"/>
        </w:rPr>
      </w:pPr>
    </w:p>
    <w:p>
      <w:pPr>
        <w:spacing w:line="500" w:lineRule="exact"/>
        <w:ind w:firstLine="6240" w:firstLineChars="2600"/>
        <w:rPr>
          <w:sz w:val="24"/>
        </w:rPr>
      </w:pPr>
      <w:r>
        <w:rPr>
          <w:sz w:val="24"/>
        </w:rPr>
        <w:t xml:space="preserve">      </w:t>
      </w:r>
    </w:p>
    <w:p>
      <w:pPr>
        <w:spacing w:line="380" w:lineRule="exact"/>
        <w:rPr>
          <w:rFonts w:hint="eastAsia" w:ascii="新宋体" w:hAnsi="新宋体" w:eastAsia="新宋体"/>
          <w:b/>
          <w:bCs/>
          <w:sz w:val="22"/>
          <w:szCs w:val="22"/>
        </w:rPr>
      </w:pPr>
    </w:p>
    <w:p>
      <w:pPr>
        <w:spacing w:line="380" w:lineRule="exact"/>
        <w:rPr>
          <w:rFonts w:hint="eastAsia" w:ascii="新宋体" w:hAnsi="新宋体" w:eastAsia="新宋体"/>
          <w:sz w:val="24"/>
        </w:rPr>
      </w:pPr>
      <w:r>
        <w:rPr>
          <w:rFonts w:hint="eastAsia" w:ascii="新宋体" w:hAnsi="新宋体" w:eastAsia="新宋体"/>
          <w:b/>
          <w:bCs/>
          <w:sz w:val="22"/>
          <w:szCs w:val="22"/>
        </w:rPr>
        <w:t>说明：</w:t>
      </w:r>
      <w:r>
        <w:rPr>
          <w:rFonts w:hint="eastAsia" w:ascii="新宋体" w:hAnsi="新宋体" w:eastAsia="新宋体"/>
          <w:b/>
          <w:bCs/>
          <w:sz w:val="24"/>
        </w:rPr>
        <w:t xml:space="preserve"> </w:t>
      </w:r>
      <w:r>
        <w:rPr>
          <w:rFonts w:hint="eastAsia" w:ascii="新宋体" w:hAnsi="新宋体" w:eastAsia="新宋体"/>
          <w:sz w:val="24"/>
        </w:rPr>
        <w:t>1、本采购项目要求投标人提供的货物及服务内容，除有特别规定外，都应包含在本报价范围内。</w:t>
      </w:r>
    </w:p>
    <w:p>
      <w:pPr>
        <w:spacing w:line="380" w:lineRule="exact"/>
        <w:ind w:firstLine="720" w:firstLineChars="300"/>
        <w:rPr>
          <w:rFonts w:hint="eastAsia" w:ascii="新宋体" w:hAnsi="新宋体" w:eastAsia="新宋体"/>
          <w:sz w:val="24"/>
        </w:rPr>
      </w:pPr>
      <w:r>
        <w:rPr>
          <w:rFonts w:hint="eastAsia" w:ascii="新宋体" w:hAnsi="新宋体" w:eastAsia="新宋体"/>
          <w:sz w:val="24"/>
        </w:rPr>
        <w:t>2、投标报价为投标方所能承受的最低、最终一次性报价。</w:t>
      </w:r>
    </w:p>
    <w:p>
      <w:pPr>
        <w:spacing w:line="380" w:lineRule="exact"/>
        <w:ind w:firstLine="720" w:firstLineChars="300"/>
        <w:rPr>
          <w:rFonts w:hint="eastAsia" w:ascii="新宋体" w:hAnsi="新宋体" w:eastAsia="新宋体"/>
          <w:sz w:val="24"/>
        </w:rPr>
      </w:pPr>
      <w:r>
        <w:rPr>
          <w:rFonts w:hint="eastAsia" w:ascii="新宋体" w:hAnsi="新宋体" w:eastAsia="新宋体"/>
          <w:sz w:val="24"/>
        </w:rPr>
        <w:t>3、总价超过预算价的投标将作无效标处理。</w:t>
      </w:r>
    </w:p>
    <w:p>
      <w:pPr>
        <w:spacing w:line="380" w:lineRule="exact"/>
        <w:ind w:firstLine="720"/>
        <w:rPr>
          <w:rFonts w:hint="eastAsia" w:ascii="新宋体" w:hAnsi="新宋体" w:eastAsia="新宋体"/>
          <w:sz w:val="24"/>
        </w:rPr>
      </w:pPr>
      <w:r>
        <w:rPr>
          <w:rFonts w:hint="eastAsia" w:ascii="新宋体" w:hAnsi="新宋体" w:eastAsia="新宋体"/>
          <w:sz w:val="24"/>
        </w:rPr>
        <w:t xml:space="preserve">                                                                       </w:t>
      </w:r>
    </w:p>
    <w:p>
      <w:pPr>
        <w:spacing w:line="380" w:lineRule="exact"/>
        <w:rPr>
          <w:rFonts w:hint="eastAsia" w:ascii="新宋体" w:hAnsi="新宋体" w:eastAsia="新宋体"/>
          <w:sz w:val="24"/>
        </w:rPr>
      </w:pPr>
      <w:r>
        <w:rPr>
          <w:rFonts w:hint="eastAsia" w:ascii="新宋体" w:hAnsi="新宋体" w:eastAsia="新宋体"/>
          <w:sz w:val="24"/>
        </w:rPr>
        <w:t xml:space="preserve">                                       投标人全称（盖章）：</w:t>
      </w:r>
    </w:p>
    <w:p>
      <w:pPr>
        <w:spacing w:line="380" w:lineRule="exact"/>
        <w:rPr>
          <w:rFonts w:hint="eastAsia" w:ascii="新宋体" w:hAnsi="新宋体" w:eastAsia="新宋体" w:cs="Times New Roman"/>
          <w:sz w:val="24"/>
        </w:rPr>
      </w:pPr>
      <w:r>
        <w:rPr>
          <w:rFonts w:hint="eastAsia" w:ascii="新宋体" w:hAnsi="新宋体" w:eastAsia="新宋体"/>
          <w:sz w:val="24"/>
        </w:rPr>
        <w:t xml:space="preserve">                                    </w:t>
      </w:r>
      <w:r>
        <w:rPr>
          <w:rFonts w:hint="eastAsia" w:ascii="新宋体" w:hAnsi="新宋体" w:eastAsia="新宋体" w:cs="Times New Roman"/>
          <w:sz w:val="24"/>
        </w:rPr>
        <w:t xml:space="preserve">   投标人代表（签字）：</w:t>
      </w:r>
    </w:p>
    <w:p>
      <w:pPr>
        <w:spacing w:line="380" w:lineRule="exact"/>
        <w:ind w:left="3780" w:leftChars="0" w:firstLine="960" w:firstLineChars="400"/>
        <w:rPr>
          <w:rFonts w:hint="default" w:ascii="新宋体" w:hAnsi="新宋体" w:eastAsia="新宋体" w:cs="Times New Roman"/>
          <w:sz w:val="24"/>
          <w:lang w:val="en-US" w:eastAsia="zh-CN"/>
        </w:rPr>
      </w:pPr>
      <w:r>
        <w:rPr>
          <w:rFonts w:hint="eastAsia" w:ascii="新宋体" w:hAnsi="新宋体" w:eastAsia="新宋体" w:cs="Times New Roman"/>
          <w:sz w:val="24"/>
          <w:lang w:val="en-US" w:eastAsia="zh-CN"/>
        </w:rPr>
        <w:t>联系方式：</w:t>
      </w:r>
    </w:p>
    <w:p>
      <w:pPr>
        <w:spacing w:line="380" w:lineRule="exact"/>
        <w:rPr>
          <w:rFonts w:hint="eastAsia" w:ascii="新宋体" w:hAnsi="新宋体" w:eastAsia="新宋体" w:cs="Times New Roman"/>
          <w:sz w:val="24"/>
        </w:rPr>
      </w:pPr>
      <w:r>
        <w:rPr>
          <w:rFonts w:hint="eastAsia" w:ascii="新宋体" w:hAnsi="新宋体" w:eastAsia="新宋体" w:cs="Times New Roman"/>
          <w:sz w:val="24"/>
        </w:rPr>
        <w:t xml:space="preserve">                                     </w:t>
      </w:r>
      <w:r>
        <w:rPr>
          <w:rFonts w:hint="eastAsia" w:ascii="新宋体" w:hAnsi="新宋体" w:eastAsia="新宋体" w:cs="Times New Roman"/>
          <w:sz w:val="24"/>
          <w:lang w:val="en-US" w:eastAsia="zh-CN"/>
        </w:rPr>
        <w:t xml:space="preserve">   </w:t>
      </w:r>
      <w:r>
        <w:rPr>
          <w:rFonts w:hint="eastAsia" w:ascii="新宋体" w:hAnsi="新宋体" w:eastAsia="新宋体" w:cs="Times New Roman"/>
          <w:sz w:val="24"/>
        </w:rPr>
        <w:t>日 期：</w:t>
      </w:r>
    </w:p>
    <w:p>
      <w:pPr>
        <w:pStyle w:val="3"/>
      </w:pPr>
    </w:p>
    <w:p>
      <w:pPr>
        <w:rPr>
          <w:rFonts w:hint="eastAsia"/>
          <w:sz w:val="28"/>
          <w:szCs w:val="28"/>
          <w:lang w:val="en-US" w:eastAsia="zh-CN"/>
        </w:rPr>
        <w:sectPr>
          <w:pgSz w:w="11906" w:h="16838"/>
          <w:pgMar w:top="1440" w:right="1803" w:bottom="1440" w:left="1803" w:header="851" w:footer="992" w:gutter="0"/>
          <w:cols w:space="0" w:num="1"/>
          <w:rtlGutter w:val="0"/>
          <w:docGrid w:type="lines" w:linePitch="312" w:charSpace="0"/>
        </w:sectPr>
      </w:pPr>
    </w:p>
    <w:p>
      <w:pPr>
        <w:pStyle w:val="2"/>
        <w:ind w:left="0" w:leftChars="0" w:firstLine="0" w:firstLineChars="0"/>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附件2</w:t>
      </w:r>
    </w:p>
    <w:p>
      <w:pPr>
        <w:jc w:val="center"/>
        <w:rPr>
          <w:rFonts w:hint="eastAsia" w:hAnsi="宋体"/>
          <w:b/>
          <w:bCs/>
          <w:sz w:val="36"/>
          <w:lang w:val="en-US" w:eastAsia="zh-CN"/>
        </w:rPr>
      </w:pPr>
      <w:r>
        <w:rPr>
          <w:rFonts w:hint="eastAsia" w:hAnsi="宋体"/>
          <w:b/>
          <w:bCs/>
          <w:sz w:val="36"/>
          <w:lang w:val="en-US" w:eastAsia="zh-CN"/>
        </w:rPr>
        <w:t>投标产品清单</w:t>
      </w:r>
    </w:p>
    <w:p>
      <w:pPr>
        <w:pStyle w:val="2"/>
        <w:rPr>
          <w:rFonts w:hint="eastAsia"/>
          <w:lang w:val="en-US" w:eastAsia="zh-CN"/>
        </w:rPr>
      </w:pPr>
    </w:p>
    <w:tbl>
      <w:tblPr>
        <w:tblStyle w:val="10"/>
        <w:tblW w:w="7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2"/>
        <w:gridCol w:w="20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标段</w:t>
            </w:r>
          </w:p>
        </w:tc>
        <w:tc>
          <w:tcPr>
            <w:tcW w:w="5818" w:type="dxa"/>
            <w:gridSpan w:val="3"/>
            <w:vAlign w:val="center"/>
          </w:tcPr>
          <w:p>
            <w:pPr>
              <w:pStyle w:val="2"/>
              <w:ind w:left="0" w:leftChars="0" w:firstLine="0" w:firstLineChars="0"/>
              <w:jc w:val="center"/>
              <w:rPr>
                <w:rFonts w:hint="default"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投标产品</w:t>
            </w:r>
          </w:p>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（同一标段可投多个产品）</w:t>
            </w:r>
          </w:p>
        </w:tc>
        <w:tc>
          <w:tcPr>
            <w:tcW w:w="1982" w:type="dxa"/>
            <w:vAlign w:val="center"/>
          </w:tcPr>
          <w:p>
            <w:pPr>
              <w:pStyle w:val="2"/>
              <w:ind w:left="0" w:leftChars="0" w:firstLine="0" w:firstLineChars="0"/>
              <w:jc w:val="center"/>
              <w:rPr>
                <w:rFonts w:hint="default"/>
                <w:sz w:val="28"/>
                <w:szCs w:val="36"/>
                <w:vertAlign w:val="baseline"/>
                <w:lang w:val="en-US" w:eastAsia="zh-CN"/>
              </w:rPr>
            </w:pPr>
            <w:r>
              <w:rPr>
                <w:rFonts w:hint="eastAsia"/>
                <w:sz w:val="28"/>
                <w:szCs w:val="36"/>
                <w:vertAlign w:val="baseline"/>
                <w:lang w:val="en-US" w:eastAsia="zh-CN"/>
              </w:rPr>
              <w:t>1</w:t>
            </w:r>
          </w:p>
        </w:tc>
        <w:tc>
          <w:tcPr>
            <w:tcW w:w="2090" w:type="dxa"/>
            <w:vAlign w:val="center"/>
          </w:tcPr>
          <w:p>
            <w:pPr>
              <w:pStyle w:val="2"/>
              <w:ind w:left="0" w:leftChars="0" w:firstLine="0" w:firstLineChars="0"/>
              <w:jc w:val="center"/>
              <w:rPr>
                <w:rFonts w:hint="default"/>
                <w:sz w:val="28"/>
                <w:szCs w:val="36"/>
                <w:vertAlign w:val="baseline"/>
                <w:lang w:val="en-US" w:eastAsia="zh-CN"/>
              </w:rPr>
            </w:pPr>
            <w:r>
              <w:rPr>
                <w:rFonts w:hint="eastAsia"/>
                <w:sz w:val="28"/>
                <w:szCs w:val="36"/>
                <w:vertAlign w:val="baseline"/>
                <w:lang w:val="en-US" w:eastAsia="zh-CN"/>
              </w:rPr>
              <w:t>2</w:t>
            </w:r>
          </w:p>
        </w:tc>
        <w:tc>
          <w:tcPr>
            <w:tcW w:w="1746" w:type="dxa"/>
            <w:vAlign w:val="center"/>
          </w:tcPr>
          <w:p>
            <w:pPr>
              <w:pStyle w:val="2"/>
              <w:ind w:left="0" w:leftChars="0" w:firstLine="0" w:firstLineChars="0"/>
              <w:jc w:val="center"/>
              <w:rPr>
                <w:rFonts w:hint="default"/>
                <w:sz w:val="28"/>
                <w:szCs w:val="36"/>
                <w:vertAlign w:val="baseline"/>
                <w:lang w:val="en-US" w:eastAsia="zh-CN"/>
              </w:rPr>
            </w:pPr>
            <w:r>
              <w:rPr>
                <w:rFonts w:hint="eastAsia"/>
                <w:sz w:val="28"/>
                <w:szCs w:val="36"/>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产品名称</w:t>
            </w:r>
          </w:p>
        </w:tc>
        <w:tc>
          <w:tcPr>
            <w:tcW w:w="1982" w:type="dxa"/>
            <w:vAlign w:val="center"/>
          </w:tcPr>
          <w:p>
            <w:pPr>
              <w:pStyle w:val="2"/>
              <w:ind w:left="0" w:leftChars="0" w:firstLine="0" w:firstLineChars="0"/>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规格型号</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耗材统一编码</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省标代码</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浙江分类/一级目录/</w:t>
            </w:r>
          </w:p>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二级目录</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生产企业</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11" w:type="dxa"/>
            <w:gridSpan w:val="4"/>
            <w:vAlign w:val="center"/>
          </w:tcPr>
          <w:p>
            <w:pPr>
              <w:pStyle w:val="2"/>
              <w:jc w:val="left"/>
              <w:rPr>
                <w:rFonts w:hint="default"/>
                <w:sz w:val="28"/>
                <w:szCs w:val="36"/>
                <w:vertAlign w:val="baseline"/>
                <w:lang w:val="en-US" w:eastAsia="zh-CN"/>
              </w:rPr>
            </w:pPr>
          </w:p>
        </w:tc>
      </w:tr>
    </w:tbl>
    <w:p>
      <w:pPr>
        <w:pStyle w:val="2"/>
        <w:ind w:left="0" w:leftChars="0" w:firstLine="0" w:firstLineChars="0"/>
        <w:rPr>
          <w:rFonts w:hint="default"/>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1587434"/>
    <w:rsid w:val="0189720A"/>
    <w:rsid w:val="069E265D"/>
    <w:rsid w:val="0980201C"/>
    <w:rsid w:val="0A651DA7"/>
    <w:rsid w:val="0B0C4B48"/>
    <w:rsid w:val="0E673A6D"/>
    <w:rsid w:val="0EBA7BC3"/>
    <w:rsid w:val="16EB42BE"/>
    <w:rsid w:val="171929B6"/>
    <w:rsid w:val="191666DA"/>
    <w:rsid w:val="1B440A68"/>
    <w:rsid w:val="1BBB4BA7"/>
    <w:rsid w:val="1C436556"/>
    <w:rsid w:val="1C7C316C"/>
    <w:rsid w:val="1D1125A5"/>
    <w:rsid w:val="229D54E1"/>
    <w:rsid w:val="2A677CA8"/>
    <w:rsid w:val="2AAF6B94"/>
    <w:rsid w:val="2EDC4D1F"/>
    <w:rsid w:val="308F4F4A"/>
    <w:rsid w:val="35B72A71"/>
    <w:rsid w:val="387F2677"/>
    <w:rsid w:val="39076329"/>
    <w:rsid w:val="3CF77889"/>
    <w:rsid w:val="3D512EB6"/>
    <w:rsid w:val="3DB22B39"/>
    <w:rsid w:val="41807897"/>
    <w:rsid w:val="43D35ED6"/>
    <w:rsid w:val="44AE0D88"/>
    <w:rsid w:val="4625196C"/>
    <w:rsid w:val="496F0BFB"/>
    <w:rsid w:val="4CEB2D8A"/>
    <w:rsid w:val="4E4D4129"/>
    <w:rsid w:val="502045C6"/>
    <w:rsid w:val="521712F5"/>
    <w:rsid w:val="53C0404C"/>
    <w:rsid w:val="54786EE6"/>
    <w:rsid w:val="566C06B8"/>
    <w:rsid w:val="570C5CDB"/>
    <w:rsid w:val="58483B22"/>
    <w:rsid w:val="584F2744"/>
    <w:rsid w:val="58E41C60"/>
    <w:rsid w:val="5A572390"/>
    <w:rsid w:val="5BE36AC3"/>
    <w:rsid w:val="5DDB5C61"/>
    <w:rsid w:val="5F476B09"/>
    <w:rsid w:val="5FDE21DF"/>
    <w:rsid w:val="622B3155"/>
    <w:rsid w:val="65686562"/>
    <w:rsid w:val="68BE495C"/>
    <w:rsid w:val="69CB4A51"/>
    <w:rsid w:val="6A870EA4"/>
    <w:rsid w:val="6BC53D4C"/>
    <w:rsid w:val="6EF8049C"/>
    <w:rsid w:val="74116696"/>
    <w:rsid w:val="79AD2DE0"/>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w:basedOn w:val="1"/>
    <w:qFormat/>
    <w:uiPriority w:val="0"/>
    <w:rPr>
      <w:sz w:val="24"/>
    </w:rPr>
  </w:style>
  <w:style w:type="paragraph" w:styleId="5">
    <w:name w:val="Body Text Indent"/>
    <w:basedOn w:val="1"/>
    <w:qFormat/>
    <w:uiPriority w:val="0"/>
    <w:pPr>
      <w:ind w:left="480" w:hanging="480" w:hangingChars="200"/>
    </w:pPr>
    <w:rPr>
      <w:sz w:val="24"/>
    </w:rPr>
  </w:style>
  <w:style w:type="paragraph" w:styleId="6">
    <w:name w:val="Plain Text"/>
    <w:basedOn w:val="1"/>
    <w:next w:val="1"/>
    <w:qFormat/>
    <w:uiPriority w:val="0"/>
    <w:rPr>
      <w:rFonts w:ascii="宋体" w:hAnsi="Courier New" w:cs="Courier New"/>
      <w:szCs w:val="21"/>
    </w:rPr>
  </w:style>
  <w:style w:type="paragraph" w:styleId="7">
    <w:name w:val="Normal (Web)"/>
    <w:basedOn w:val="1"/>
    <w:qFormat/>
    <w:uiPriority w:val="0"/>
    <w:rPr>
      <w:sz w:val="24"/>
    </w:rPr>
  </w:style>
  <w:style w:type="paragraph" w:styleId="8">
    <w:name w:val="Body Text First Indent"/>
    <w:basedOn w:val="4"/>
    <w:next w:val="1"/>
    <w:qFormat/>
    <w:uiPriority w:val="0"/>
    <w:pPr>
      <w:tabs>
        <w:tab w:val="left" w:pos="208"/>
      </w:tabs>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qFormat/>
    <w:uiPriority w:val="0"/>
    <w:pPr>
      <w:ind w:firstLine="420" w:firstLineChars="200"/>
    </w:pPr>
  </w:style>
  <w:style w:type="paragraph" w:customStyle="1" w:styleId="14">
    <w:name w:val="正文（首行缩进2字符）"/>
    <w:basedOn w:val="1"/>
    <w:qFormat/>
    <w:uiPriority w:val="0"/>
    <w:pPr>
      <w:spacing w:line="360" w:lineRule="auto"/>
      <w:ind w:firstLine="420" w:firstLineChars="200"/>
    </w:pPr>
    <w:rPr>
      <w:rFonts w:ascii="Times New Roman" w:hAnsi="Times New Roman" w:eastAsia="宋体" w:cs="Times New Roman"/>
      <w:szCs w:val="21"/>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2144</Words>
  <Characters>2214</Characters>
  <Lines>0</Lines>
  <Paragraphs>0</Paragraphs>
  <TotalTime>31</TotalTime>
  <ScaleCrop>false</ScaleCrop>
  <LinksUpToDate>false</LinksUpToDate>
  <CharactersWithSpaces>2592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bigoofeet</cp:lastModifiedBy>
  <dcterms:modified xsi:type="dcterms:W3CDTF">2023-11-24T06:10:42Z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879E631C58254943B4EFACEB7471B612_13</vt:lpwstr>
  </property>
</Properties>
</file>