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HCG等6项试剂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r>
        <w:rPr>
          <w:rFonts w:hint="eastAsia"/>
          <w:b/>
          <w:bCs/>
          <w:sz w:val="32"/>
          <w:szCs w:val="32"/>
          <w:lang w:eastAsia="zh-CN"/>
        </w:rPr>
        <w:t>（</w:t>
      </w:r>
      <w:r>
        <w:rPr>
          <w:rFonts w:hint="eastAsia"/>
          <w:b/>
          <w:bCs/>
          <w:sz w:val="32"/>
          <w:szCs w:val="32"/>
          <w:lang w:val="en-US" w:eastAsia="zh-CN"/>
        </w:rPr>
        <w:t>第二次</w:t>
      </w:r>
      <w:r>
        <w:rPr>
          <w:rFonts w:hint="eastAsia"/>
          <w:b/>
          <w:bCs/>
          <w:sz w:val="32"/>
          <w:szCs w:val="32"/>
          <w:lang w:eastAsia="zh-CN"/>
        </w:rPr>
        <w:t>）</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ascii="宋体" w:hAnsi="宋体" w:cs="Arial"/>
          <w:sz w:val="24"/>
          <w:szCs w:val="24"/>
          <w:lang w:val="en-US" w:eastAsia="zh-CN"/>
        </w:rPr>
        <w:t>HCG等6项</w:t>
      </w:r>
      <w:r>
        <w:rPr>
          <w:rFonts w:hint="eastAsia"/>
          <w:b w:val="0"/>
          <w:bCs w:val="0"/>
          <w:sz w:val="24"/>
          <w:szCs w:val="24"/>
          <w:lang w:val="en-US" w:eastAsia="zh-CN"/>
        </w:rPr>
        <w:t>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3"/>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HCG等6项</w:t>
      </w:r>
      <w:r>
        <w:rPr>
          <w:rFonts w:hint="eastAsia"/>
          <w:b w:val="0"/>
          <w:bCs w:val="0"/>
          <w:sz w:val="24"/>
          <w:szCs w:val="24"/>
          <w:lang w:val="en-US" w:eastAsia="zh-CN"/>
        </w:rPr>
        <w:t>试剂</w:t>
      </w:r>
      <w:r>
        <w:rPr>
          <w:sz w:val="24"/>
          <w:szCs w:val="24"/>
        </w:rPr>
        <w:t>项目</w:t>
      </w:r>
      <w:r>
        <w:rPr>
          <w:rFonts w:hint="eastAsia"/>
          <w:sz w:val="24"/>
          <w:szCs w:val="24"/>
          <w:lang w:eastAsia="zh-CN"/>
        </w:rPr>
        <w:t>，</w:t>
      </w:r>
      <w:r>
        <w:rPr>
          <w:rFonts w:hint="eastAsia"/>
          <w:sz w:val="24"/>
          <w:szCs w:val="24"/>
          <w:lang w:val="en-US" w:eastAsia="zh-CN"/>
        </w:rPr>
        <w:t>本项目试剂均需适配我院现有设备使用。详情见下表。</w:t>
      </w:r>
    </w:p>
    <w:p>
      <w:pPr>
        <w:pStyle w:val="13"/>
        <w:bidi w:val="0"/>
        <w:rPr>
          <w:rFonts w:hint="default"/>
          <w:sz w:val="24"/>
          <w:szCs w:val="24"/>
          <w:lang w:val="en-US" w:eastAsia="zh-CN"/>
        </w:rPr>
      </w:pPr>
      <w:r>
        <w:rPr>
          <w:rFonts w:hint="eastAsia"/>
          <w:sz w:val="24"/>
          <w:szCs w:val="24"/>
          <w:lang w:val="en-US" w:eastAsia="zh-CN"/>
        </w:rPr>
        <w:t>1.项目一览表</w:t>
      </w:r>
    </w:p>
    <w:tbl>
      <w:tblPr>
        <w:tblStyle w:val="10"/>
        <w:tblpPr w:leftFromText="180" w:rightFromText="180" w:vertAnchor="text" w:horzAnchor="page" w:tblpX="530" w:tblpY="335"/>
        <w:tblOverlap w:val="never"/>
        <w:tblW w:w="10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69"/>
        <w:gridCol w:w="2063"/>
        <w:gridCol w:w="2778"/>
        <w:gridCol w:w="18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标段</w:t>
            </w:r>
          </w:p>
        </w:tc>
        <w:tc>
          <w:tcPr>
            <w:tcW w:w="1869"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2063"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适配设备型号</w:t>
            </w:r>
          </w:p>
        </w:tc>
        <w:tc>
          <w:tcPr>
            <w:tcW w:w="277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分项</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预算单价 </w:t>
            </w:r>
          </w:p>
        </w:tc>
        <w:tc>
          <w:tcPr>
            <w:tcW w:w="1303"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w:t>
            </w:r>
          </w:p>
        </w:tc>
        <w:tc>
          <w:tcPr>
            <w:tcW w:w="186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急诊HCG</w:t>
            </w:r>
          </w:p>
        </w:tc>
        <w:tc>
          <w:tcPr>
            <w:tcW w:w="2063" w:type="dxa"/>
            <w:vMerge w:val="restart"/>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迈瑞cl-8000i</w:t>
            </w:r>
          </w:p>
        </w:tc>
        <w:tc>
          <w:tcPr>
            <w:tcW w:w="2778"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急诊HCG</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w:t>
            </w:r>
          </w:p>
        </w:tc>
        <w:tc>
          <w:tcPr>
            <w:tcW w:w="1303"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HIS收费结算；含质控品、校准品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186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急诊孕酮</w:t>
            </w:r>
          </w:p>
        </w:tc>
        <w:tc>
          <w:tcPr>
            <w:tcW w:w="206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2778"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急诊孕酮</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w:t>
            </w:r>
          </w:p>
        </w:tc>
        <w:tc>
          <w:tcPr>
            <w:tcW w:w="130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w:t>
            </w:r>
          </w:p>
        </w:tc>
        <w:tc>
          <w:tcPr>
            <w:tcW w:w="186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急诊降钙素原</w:t>
            </w:r>
          </w:p>
        </w:tc>
        <w:tc>
          <w:tcPr>
            <w:tcW w:w="2063" w:type="dxa"/>
            <w:vMerge w:val="restart"/>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迈瑞cl-8000i</w:t>
            </w:r>
          </w:p>
        </w:tc>
        <w:tc>
          <w:tcPr>
            <w:tcW w:w="2778"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急诊降钙素原</w:t>
            </w:r>
          </w:p>
        </w:tc>
        <w:tc>
          <w:tcPr>
            <w:tcW w:w="1805"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30%</w:t>
            </w:r>
          </w:p>
        </w:tc>
        <w:tc>
          <w:tcPr>
            <w:tcW w:w="130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186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急诊白介素6</w:t>
            </w:r>
          </w:p>
        </w:tc>
        <w:tc>
          <w:tcPr>
            <w:tcW w:w="206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2778"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急诊白介素6</w:t>
            </w:r>
          </w:p>
        </w:tc>
        <w:tc>
          <w:tcPr>
            <w:tcW w:w="1805"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30%</w:t>
            </w:r>
          </w:p>
        </w:tc>
        <w:tc>
          <w:tcPr>
            <w:tcW w:w="130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restart"/>
            <w:vAlign w:val="center"/>
          </w:tcPr>
          <w:p>
            <w:pPr>
              <w:pStyle w:val="14"/>
              <w:bidi w:val="0"/>
              <w:ind w:left="0" w:leftChars="0" w:firstLine="0" w:firstLineChars="0"/>
              <w:jc w:val="center"/>
              <w:rPr>
                <w:rFonts w:hint="default"/>
                <w:sz w:val="24"/>
                <w:szCs w:val="24"/>
                <w:lang w:val="en-US" w:eastAsia="zh-CN"/>
              </w:rPr>
            </w:pPr>
            <w:r>
              <w:rPr>
                <w:rFonts w:hint="eastAsia"/>
                <w:sz w:val="24"/>
                <w:szCs w:val="24"/>
                <w:lang w:val="en-US" w:eastAsia="zh-CN"/>
              </w:rPr>
              <w:t>三</w:t>
            </w:r>
          </w:p>
        </w:tc>
        <w:tc>
          <w:tcPr>
            <w:tcW w:w="186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质谱仪配套试剂</w:t>
            </w:r>
          </w:p>
        </w:tc>
        <w:tc>
          <w:tcPr>
            <w:tcW w:w="2063" w:type="dxa"/>
            <w:vMerge w:val="restart"/>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珠海美华</w:t>
            </w:r>
          </w:p>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M-Discover 100 Excellence</w:t>
            </w: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质谱检测仪样本前处理基质试剂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含质控品、校准品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pPr>
          </w:p>
        </w:tc>
        <w:tc>
          <w:tcPr>
            <w:tcW w:w="1869" w:type="dxa"/>
            <w:vMerge w:val="continue"/>
            <w:vAlign w:val="center"/>
          </w:tcPr>
          <w:p>
            <w:pPr>
              <w:pStyle w:val="14"/>
              <w:bidi w:val="0"/>
              <w:ind w:left="0" w:leftChars="0" w:firstLine="0" w:firstLineChars="0"/>
              <w:jc w:val="center"/>
            </w:pPr>
          </w:p>
        </w:tc>
        <w:tc>
          <w:tcPr>
            <w:tcW w:w="2063" w:type="dxa"/>
            <w:vMerge w:val="continue"/>
            <w:vAlign w:val="center"/>
          </w:tcPr>
          <w:p>
            <w:pPr>
              <w:pStyle w:val="14"/>
              <w:bidi w:val="0"/>
              <w:ind w:left="0" w:leftChars="0" w:firstLine="0" w:firstLineChars="0"/>
              <w:jc w:val="cente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质谱检测仪微生物样本前处理试剂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质谱检测仪真菌前处理试剂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质谱检测仪丝状真菌前处理试剂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质谱检测仪分枝杆菌、努卡菌前处理试剂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w:t>
            </w:r>
          </w:p>
        </w:tc>
        <w:tc>
          <w:tcPr>
            <w:tcW w:w="186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单纯疱疹病毒II型核酸检测试剂盒</w:t>
            </w:r>
          </w:p>
        </w:tc>
        <w:tc>
          <w:tcPr>
            <w:tcW w:w="2063"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达安提取仪</w:t>
            </w:r>
          </w:p>
        </w:tc>
        <w:tc>
          <w:tcPr>
            <w:tcW w:w="277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提取试剂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1.3元/测试</w:t>
            </w:r>
          </w:p>
        </w:tc>
        <w:tc>
          <w:tcPr>
            <w:tcW w:w="1303"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continue"/>
            <w:vAlign w:val="center"/>
          </w:tcPr>
          <w:p>
            <w:pPr>
              <w:pStyle w:val="14"/>
              <w:bidi w:val="0"/>
              <w:ind w:left="0" w:leftChars="0" w:firstLine="0" w:firstLineChars="0"/>
              <w:jc w:val="center"/>
            </w:pPr>
          </w:p>
        </w:tc>
        <w:tc>
          <w:tcPr>
            <w:tcW w:w="1869" w:type="dxa"/>
            <w:vMerge w:val="continue"/>
            <w:vAlign w:val="center"/>
          </w:tcPr>
          <w:p>
            <w:pPr>
              <w:pStyle w:val="14"/>
              <w:bidi w:val="0"/>
              <w:ind w:left="0" w:leftChars="0" w:firstLine="0" w:firstLineChars="0"/>
              <w:jc w:val="center"/>
            </w:pPr>
          </w:p>
        </w:tc>
        <w:tc>
          <w:tcPr>
            <w:tcW w:w="2063"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ABI系列PCR、</w:t>
            </w:r>
          </w:p>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罗氏 Z480 PCR、</w:t>
            </w:r>
          </w:p>
          <w:p>
            <w:pPr>
              <w:pStyle w:val="14"/>
              <w:bidi w:val="0"/>
              <w:ind w:left="0" w:leftChars="0" w:firstLine="0" w:firstLineChars="0"/>
              <w:jc w:val="center"/>
            </w:pPr>
            <w:r>
              <w:rPr>
                <w:rFonts w:hint="eastAsia" w:asciiTheme="minorEastAsia" w:hAnsiTheme="minorEastAsia" w:eastAsiaTheme="minorEastAsia" w:cstheme="minorEastAsia"/>
                <w:sz w:val="24"/>
                <w:szCs w:val="24"/>
                <w:lang w:val="en-US" w:eastAsia="zh-CN"/>
              </w:rPr>
              <w:t>伯乐  PCR</w:t>
            </w:r>
          </w:p>
        </w:tc>
        <w:tc>
          <w:tcPr>
            <w:tcW w:w="2778" w:type="dxa"/>
            <w:vAlign w:val="center"/>
          </w:tcPr>
          <w:p>
            <w:pPr>
              <w:pStyle w:val="14"/>
              <w:bidi w:val="0"/>
              <w:ind w:left="0" w:leftChars="0" w:firstLine="0" w:firstLineChars="0"/>
              <w:jc w:val="center"/>
              <w:rPr>
                <w:rFonts w:hint="default" w:eastAsia="宋体"/>
                <w:lang w:val="en-US" w:eastAsia="zh-CN"/>
              </w:rPr>
            </w:pPr>
            <w:r>
              <w:rPr>
                <w:rFonts w:hint="eastAsia" w:asciiTheme="minorEastAsia" w:hAnsiTheme="minorEastAsia" w:eastAsiaTheme="minorEastAsia" w:cstheme="minorEastAsia"/>
                <w:sz w:val="24"/>
                <w:szCs w:val="24"/>
                <w:lang w:val="en-US" w:eastAsia="zh-CN"/>
              </w:rPr>
              <w:t>扩增试剂</w:t>
            </w:r>
          </w:p>
        </w:tc>
        <w:tc>
          <w:tcPr>
            <w:tcW w:w="1805" w:type="dxa"/>
            <w:vAlign w:val="center"/>
          </w:tcPr>
          <w:p>
            <w:pPr>
              <w:pStyle w:val="14"/>
              <w:bidi w:val="0"/>
              <w:ind w:left="0" w:leftChars="0" w:firstLine="0" w:firstLineChars="0"/>
              <w:jc w:val="center"/>
              <w:rPr>
                <w:rFonts w:hint="default" w:eastAsia="宋体"/>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pPr>
          </w:p>
        </w:tc>
      </w:tr>
    </w:tbl>
    <w:p>
      <w:pPr>
        <w:pStyle w:val="13"/>
        <w:numPr>
          <w:ilvl w:val="0"/>
          <w:numId w:val="0"/>
        </w:numPr>
        <w:bidi w:val="0"/>
        <w:rPr>
          <w:rFonts w:hint="default"/>
          <w:b w:val="0"/>
          <w:bCs w:val="0"/>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询价采购，符合要求，低价中标</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sz w:val="24"/>
          <w:szCs w:val="24"/>
          <w:lang w:val="en-US" w:eastAsia="zh-CN"/>
        </w:rPr>
        <w:t>见表格</w:t>
      </w:r>
      <w:r>
        <w:rPr>
          <w:rFonts w:hint="eastAsia" w:ascii="新宋体" w:hAnsi="新宋体" w:eastAsia="新宋体"/>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w:t>
      </w:r>
      <w:r>
        <w:rPr>
          <w:rFonts w:hint="eastAsia" w:asciiTheme="minorEastAsia" w:hAnsiTheme="minorEastAsia" w:eastAsiaTheme="minorEastAsia" w:cstheme="minorEastAsia"/>
          <w:b/>
          <w:bCs/>
          <w:sz w:val="24"/>
          <w:lang w:val="en-US" w:eastAsia="zh-CN"/>
        </w:rPr>
        <w:t>全程冷链配送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eastAsia="宋体"/>
          <w:sz w:val="24"/>
          <w:szCs w:val="24"/>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生厂厂家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注册证</w:t>
      </w:r>
      <w:r>
        <w:rPr>
          <w:rFonts w:hint="eastAsia" w:ascii="宋体" w:hAnsi="宋体" w:cs="宋体"/>
          <w:sz w:val="24"/>
          <w:szCs w:val="24"/>
          <w:lang w:eastAsia="zh-CN"/>
        </w:rPr>
        <w:t>、</w:t>
      </w:r>
      <w:r>
        <w:rPr>
          <w:rFonts w:hint="eastAsia" w:ascii="宋体" w:hAnsi="宋体" w:cs="宋体"/>
          <w:sz w:val="24"/>
          <w:szCs w:val="24"/>
          <w:lang w:val="en-US" w:eastAsia="zh-CN"/>
        </w:rPr>
        <w:t>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2"/>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（4）生产企业质量认证体系证书：1国内（医疗器械质量管理体系认证/通用质量管理体系认证）2国外（FDA/GE/GS/TUV）。</w:t>
      </w:r>
    </w:p>
    <w:p>
      <w:pPr>
        <w:pStyle w:val="2"/>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（5）产品抽检情况。</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2"/>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1</w:t>
      </w:r>
      <w:r>
        <w:rPr>
          <w:rFonts w:hint="eastAsia" w:ascii="宋体" w:hAnsi="宋体" w:cs="Arial"/>
          <w:sz w:val="24"/>
          <w:szCs w:val="24"/>
        </w:rPr>
        <w:t>月</w:t>
      </w:r>
      <w:r>
        <w:rPr>
          <w:rFonts w:hint="eastAsia" w:ascii="宋体" w:hAnsi="宋体" w:cs="Arial"/>
          <w:sz w:val="24"/>
          <w:szCs w:val="24"/>
          <w:lang w:val="en-US" w:eastAsia="zh-CN"/>
        </w:rPr>
        <w:t>29</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2"/>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2"/>
          <w:rFonts w:hint="eastAsia" w:ascii="宋体" w:hAnsi="宋体" w:cs="宋体"/>
          <w:sz w:val="24"/>
          <w:szCs w:val="24"/>
        </w:rPr>
      </w:pPr>
      <w:r>
        <w:rPr>
          <w:rStyle w:val="12"/>
          <w:rFonts w:hint="eastAsia" w:ascii="宋体" w:hAnsi="宋体" w:cs="宋体"/>
          <w:sz w:val="24"/>
          <w:szCs w:val="24"/>
          <w:lang w:val="en-US" w:eastAsia="zh-CN"/>
        </w:rPr>
        <w:t>七、</w:t>
      </w:r>
      <w:r>
        <w:rPr>
          <w:rStyle w:val="12"/>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w:t>
      </w:r>
      <w:r>
        <w:rPr>
          <w:rFonts w:hint="eastAsia" w:ascii="宋体" w:hAnsi="宋体" w:cs="宋体"/>
          <w:sz w:val="24"/>
          <w:szCs w:val="24"/>
          <w:lang w:val="en-US" w:eastAsia="zh-CN"/>
        </w:rPr>
        <w:t>采用不见面开标，</w:t>
      </w:r>
      <w:r>
        <w:rPr>
          <w:rFonts w:hint="eastAsia" w:ascii="宋体" w:hAnsi="宋体" w:cs="宋体"/>
          <w:sz w:val="24"/>
          <w:szCs w:val="24"/>
        </w:rPr>
        <w:t>开标时间：</w:t>
      </w:r>
      <w:r>
        <w:rPr>
          <w:rStyle w:val="12"/>
          <w:rFonts w:hint="eastAsia" w:ascii="宋体" w:hAnsi="宋体" w:cs="宋体"/>
          <w:sz w:val="24"/>
          <w:szCs w:val="24"/>
          <w:u w:val="single"/>
        </w:rPr>
        <w:t>202</w:t>
      </w:r>
      <w:r>
        <w:rPr>
          <w:rStyle w:val="12"/>
          <w:rFonts w:hint="eastAsia" w:ascii="宋体" w:hAnsi="宋体" w:cs="宋体"/>
          <w:sz w:val="24"/>
          <w:szCs w:val="24"/>
          <w:u w:val="single"/>
          <w:lang w:val="en-US" w:eastAsia="zh-CN"/>
        </w:rPr>
        <w:t>4</w:t>
      </w:r>
      <w:r>
        <w:rPr>
          <w:rStyle w:val="12"/>
          <w:rFonts w:hint="eastAsia" w:ascii="宋体" w:hAnsi="宋体" w:cs="宋体"/>
          <w:sz w:val="24"/>
          <w:szCs w:val="24"/>
          <w:u w:val="single"/>
        </w:rPr>
        <w:t>年</w:t>
      </w:r>
      <w:r>
        <w:rPr>
          <w:rStyle w:val="12"/>
          <w:rFonts w:hint="eastAsia" w:ascii="宋体" w:hAnsi="宋体" w:cs="宋体"/>
          <w:sz w:val="24"/>
          <w:szCs w:val="24"/>
          <w:u w:val="single"/>
          <w:lang w:val="en-US" w:eastAsia="zh-CN"/>
        </w:rPr>
        <w:t>1</w:t>
      </w:r>
      <w:r>
        <w:rPr>
          <w:rStyle w:val="12"/>
          <w:rFonts w:hint="eastAsia" w:ascii="宋体" w:hAnsi="宋体" w:cs="宋体"/>
          <w:sz w:val="24"/>
          <w:szCs w:val="24"/>
          <w:u w:val="single"/>
        </w:rPr>
        <w:t>月</w:t>
      </w:r>
      <w:r>
        <w:rPr>
          <w:rStyle w:val="12"/>
          <w:rFonts w:hint="eastAsia" w:ascii="宋体" w:hAnsi="宋体" w:cs="宋体"/>
          <w:sz w:val="24"/>
          <w:szCs w:val="24"/>
          <w:u w:val="single"/>
          <w:lang w:val="en-US" w:eastAsia="zh-CN"/>
        </w:rPr>
        <w:t>30</w:t>
      </w:r>
      <w:r>
        <w:rPr>
          <w:rStyle w:val="12"/>
          <w:rFonts w:hint="eastAsia" w:ascii="宋体" w:hAnsi="宋体" w:cs="宋体"/>
          <w:sz w:val="24"/>
          <w:szCs w:val="24"/>
          <w:u w:val="single"/>
        </w:rPr>
        <w:t>日</w:t>
      </w:r>
      <w:r>
        <w:rPr>
          <w:rStyle w:val="12"/>
          <w:rFonts w:hint="eastAsia" w:ascii="宋体" w:hAnsi="宋体" w:cs="宋体"/>
          <w:sz w:val="24"/>
          <w:szCs w:val="24"/>
          <w:u w:val="single"/>
          <w:lang w:val="en-US" w:eastAsia="zh-CN"/>
        </w:rPr>
        <w:t>9</w:t>
      </w:r>
      <w:r>
        <w:rPr>
          <w:rStyle w:val="12"/>
          <w:rFonts w:hint="eastAsia" w:ascii="宋体" w:hAnsi="宋体" w:cs="宋体"/>
          <w:sz w:val="24"/>
          <w:szCs w:val="24"/>
          <w:u w:val="single"/>
        </w:rPr>
        <w:t>时</w:t>
      </w:r>
      <w:r>
        <w:rPr>
          <w:rStyle w:val="12"/>
          <w:rFonts w:hint="eastAsia" w:ascii="宋体" w:hAnsi="宋体" w:cs="宋体"/>
          <w:sz w:val="24"/>
          <w:szCs w:val="24"/>
        </w:rPr>
        <w:t>。开标地址：义乌市中心医院行政楼</w:t>
      </w:r>
      <w:r>
        <w:rPr>
          <w:rStyle w:val="12"/>
          <w:rFonts w:hint="eastAsia" w:ascii="宋体" w:hAnsi="宋体" w:cs="宋体"/>
          <w:sz w:val="24"/>
          <w:szCs w:val="24"/>
          <w:lang w:val="en-US" w:eastAsia="zh-CN"/>
        </w:rPr>
        <w:t>1</w:t>
      </w:r>
      <w:r>
        <w:rPr>
          <w:rStyle w:val="12"/>
          <w:rFonts w:hint="eastAsia" w:ascii="宋体" w:hAnsi="宋体" w:cs="宋体"/>
          <w:sz w:val="24"/>
          <w:szCs w:val="24"/>
        </w:rPr>
        <w:t>楼</w:t>
      </w:r>
      <w:r>
        <w:rPr>
          <w:rStyle w:val="12"/>
          <w:rFonts w:hint="eastAsia" w:ascii="宋体" w:hAnsi="宋体" w:cs="宋体"/>
          <w:sz w:val="24"/>
          <w:szCs w:val="24"/>
          <w:lang w:val="en-US" w:eastAsia="zh-CN"/>
        </w:rPr>
        <w:t>109</w:t>
      </w:r>
      <w:r>
        <w:rPr>
          <w:rStyle w:val="12"/>
          <w:rFonts w:hint="eastAsia" w:ascii="宋体" w:hAnsi="宋体" w:cs="宋体"/>
          <w:sz w:val="24"/>
          <w:szCs w:val="24"/>
        </w:rPr>
        <w:t>室。</w:t>
      </w:r>
      <w:r>
        <w:rPr>
          <w:rFonts w:hint="eastAsia"/>
          <w:sz w:val="24"/>
          <w:szCs w:val="24"/>
          <w:lang w:val="en-US" w:eastAsia="zh-CN"/>
        </w:rPr>
        <w:t>根据报名情况调整。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bookmarkStart w:id="0" w:name="_GoBack"/>
      <w:bookmarkEnd w:id="0"/>
      <w:r>
        <w:rPr>
          <w:rFonts w:hint="eastAsia"/>
        </w:rPr>
        <w:br w:type="textWrapping"/>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1</w:t>
      </w:r>
      <w:r>
        <w:rPr>
          <w:rFonts w:hint="eastAsia" w:ascii="新宋体" w:hAnsi="新宋体" w:eastAsia="新宋体"/>
          <w:sz w:val="24"/>
          <w:szCs w:val="24"/>
        </w:rPr>
        <w:t>月</w:t>
      </w:r>
      <w:r>
        <w:rPr>
          <w:rFonts w:hint="eastAsia" w:ascii="新宋体" w:hAnsi="新宋体" w:eastAsia="新宋体"/>
          <w:sz w:val="24"/>
          <w:szCs w:val="24"/>
          <w:lang w:val="en-US" w:eastAsia="zh-CN"/>
        </w:rPr>
        <w:t>23</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4"/>
        <w:rPr>
          <w:rFonts w:hint="eastAsia"/>
        </w:rPr>
      </w:pPr>
    </w:p>
    <w:p>
      <w:pPr>
        <w:pStyle w:val="14"/>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9"/>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10"/>
        <w:tblpPr w:leftFromText="180" w:rightFromText="180" w:vertAnchor="text" w:horzAnchor="page" w:tblpX="1238" w:tblpY="325"/>
        <w:tblOverlap w:val="never"/>
        <w:tblW w:w="10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87"/>
        <w:gridCol w:w="2219"/>
        <w:gridCol w:w="1624"/>
        <w:gridCol w:w="18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rStyle w:val="16"/>
                <w:rFonts w:hint="default"/>
                <w:sz w:val="28"/>
                <w:szCs w:val="28"/>
                <w:lang w:val="en-US" w:eastAsia="zh-CN" w:bidi="ar"/>
              </w:rPr>
            </w:pPr>
            <w:r>
              <w:rPr>
                <w:rStyle w:val="16"/>
                <w:rFonts w:hint="eastAsia"/>
                <w:sz w:val="28"/>
                <w:szCs w:val="28"/>
                <w:lang w:val="en-US" w:eastAsia="zh-CN" w:bidi="ar"/>
              </w:rPr>
              <w:t>标段</w:t>
            </w:r>
          </w:p>
        </w:tc>
        <w:tc>
          <w:tcPr>
            <w:tcW w:w="1187" w:type="dxa"/>
            <w:vAlign w:val="center"/>
          </w:tcPr>
          <w:p>
            <w:pPr>
              <w:keepNext w:val="0"/>
              <w:keepLines w:val="0"/>
              <w:widowControl/>
              <w:suppressLineNumbers w:val="0"/>
              <w:jc w:val="center"/>
              <w:textAlignment w:val="center"/>
              <w:rPr>
                <w:sz w:val="18"/>
                <w:szCs w:val="18"/>
                <w:vertAlign w:val="baseline"/>
              </w:rPr>
            </w:pPr>
            <w:r>
              <w:rPr>
                <w:rStyle w:val="16"/>
                <w:sz w:val="28"/>
                <w:szCs w:val="28"/>
                <w:lang w:val="en-US" w:eastAsia="zh-CN" w:bidi="ar"/>
              </w:rPr>
              <w:t>序号</w:t>
            </w:r>
          </w:p>
        </w:tc>
        <w:tc>
          <w:tcPr>
            <w:tcW w:w="2219" w:type="dxa"/>
            <w:vAlign w:val="bottom"/>
          </w:tcPr>
          <w:p>
            <w:pPr>
              <w:keepNext w:val="0"/>
              <w:keepLines w:val="0"/>
              <w:widowControl/>
              <w:suppressLineNumbers w:val="0"/>
              <w:jc w:val="center"/>
              <w:textAlignment w:val="bottom"/>
              <w:rPr>
                <w:rFonts w:hint="default"/>
                <w:sz w:val="18"/>
                <w:szCs w:val="18"/>
                <w:vertAlign w:val="baseline"/>
                <w:lang w:val="en-US"/>
              </w:rPr>
            </w:pPr>
            <w:r>
              <w:rPr>
                <w:rStyle w:val="16"/>
                <w:rFonts w:hint="eastAsia"/>
                <w:sz w:val="28"/>
                <w:szCs w:val="28"/>
                <w:lang w:val="en-US" w:eastAsia="zh-CN" w:bidi="ar"/>
              </w:rPr>
              <w:t>产品名称</w:t>
            </w:r>
          </w:p>
        </w:tc>
        <w:tc>
          <w:tcPr>
            <w:tcW w:w="1624" w:type="dxa"/>
            <w:vAlign w:val="bottom"/>
          </w:tcPr>
          <w:p>
            <w:pPr>
              <w:keepNext w:val="0"/>
              <w:keepLines w:val="0"/>
              <w:widowControl/>
              <w:suppressLineNumbers w:val="0"/>
              <w:jc w:val="center"/>
              <w:textAlignment w:val="bottom"/>
              <w:rPr>
                <w:sz w:val="18"/>
                <w:szCs w:val="18"/>
                <w:vertAlign w:val="baseline"/>
              </w:rPr>
            </w:pPr>
            <w:r>
              <w:rPr>
                <w:rStyle w:val="16"/>
                <w:sz w:val="28"/>
                <w:szCs w:val="28"/>
                <w:lang w:val="en-US" w:eastAsia="zh-CN" w:bidi="ar"/>
              </w:rPr>
              <w:t>规格</w:t>
            </w:r>
          </w:p>
        </w:tc>
        <w:tc>
          <w:tcPr>
            <w:tcW w:w="1826"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24"/>
                <w:szCs w:val="24"/>
                <w:vertAlign w:val="baseline"/>
                <w:lang w:val="en-US" w:eastAsia="zh-CN"/>
              </w:rPr>
              <w:t>品牌</w:t>
            </w:r>
          </w:p>
        </w:tc>
        <w:tc>
          <w:tcPr>
            <w:tcW w:w="2002" w:type="dxa"/>
            <w:vAlign w:val="center"/>
          </w:tcPr>
          <w:p>
            <w:pPr>
              <w:keepNext w:val="0"/>
              <w:keepLines w:val="0"/>
              <w:widowControl/>
              <w:suppressLineNumbers w:val="0"/>
              <w:jc w:val="center"/>
              <w:textAlignment w:val="center"/>
              <w:rPr>
                <w:rFonts w:hint="default"/>
                <w:sz w:val="28"/>
                <w:szCs w:val="28"/>
                <w:vertAlign w:val="baseline"/>
                <w:lang w:val="en-US" w:eastAsia="zh-CN"/>
              </w:rPr>
            </w:pPr>
            <w:r>
              <w:rPr>
                <w:rFonts w:hint="eastAsia"/>
                <w:sz w:val="28"/>
                <w:szCs w:val="28"/>
                <w:vertAlign w:val="baseline"/>
                <w:lang w:val="en-US" w:eastAsia="zh-CN"/>
              </w:rPr>
              <w:t>报价 元/测试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Merge w:val="restart"/>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r>
              <w:rPr>
                <w:rFonts w:hint="eastAsia" w:cs="Calibri"/>
                <w:i w:val="0"/>
                <w:iCs w:val="0"/>
                <w:color w:val="000000"/>
                <w:kern w:val="0"/>
                <w:sz w:val="28"/>
                <w:szCs w:val="28"/>
                <w:u w:val="none"/>
                <w:lang w:val="en-US" w:eastAsia="zh-CN" w:bidi="ar"/>
              </w:rPr>
              <w:t>一</w:t>
            </w:r>
          </w:p>
        </w:tc>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1</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Merge w:val="continue"/>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p>
        </w:tc>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2</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Merge w:val="continue"/>
            <w:vAlign w:val="center"/>
          </w:tcPr>
          <w:p>
            <w:pPr>
              <w:keepNext w:val="0"/>
              <w:keepLines w:val="0"/>
              <w:widowControl/>
              <w:suppressLineNumbers w:val="0"/>
              <w:jc w:val="center"/>
              <w:textAlignment w:val="center"/>
              <w:rPr>
                <w:rFonts w:hint="eastAsia" w:eastAsia="宋体" w:cs="Calibri"/>
                <w:i w:val="0"/>
                <w:iCs w:val="0"/>
                <w:color w:val="000000"/>
                <w:kern w:val="0"/>
                <w:sz w:val="28"/>
                <w:szCs w:val="28"/>
                <w:u w:val="none"/>
                <w:lang w:val="en-US" w:eastAsia="zh-CN" w:bidi="ar"/>
              </w:rPr>
            </w:pPr>
          </w:p>
        </w:tc>
        <w:tc>
          <w:tcPr>
            <w:tcW w:w="1187"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045" w:type="dxa"/>
            <w:gridSpan w:val="6"/>
            <w:vAlign w:val="center"/>
          </w:tcPr>
          <w:p>
            <w:pPr>
              <w:jc w:val="left"/>
              <w:rPr>
                <w:rFonts w:hint="eastAsia"/>
                <w:sz w:val="18"/>
                <w:szCs w:val="18"/>
                <w:vertAlign w:val="baseline"/>
                <w:lang w:val="en-US" w:eastAsia="zh-CN"/>
              </w:rPr>
            </w:pPr>
            <w:r>
              <w:rPr>
                <w:rFonts w:hint="eastAsia"/>
                <w:sz w:val="18"/>
                <w:szCs w:val="18"/>
                <w:vertAlign w:val="baseline"/>
                <w:lang w:val="en-US" w:eastAsia="zh-CN"/>
              </w:rPr>
              <w:t>备注：</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r>
        <w:rPr>
          <w:rFonts w:hint="eastAsia" w:eastAsia="宋体"/>
          <w:lang w:val="en-US" w:eastAsia="zh-CN"/>
        </w:rPr>
        <w:br w:type="page"/>
      </w:r>
    </w:p>
    <w:p>
      <w:pPr>
        <w:pStyle w:val="8"/>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00000000"/>
    <w:rsid w:val="036A0409"/>
    <w:rsid w:val="050A560A"/>
    <w:rsid w:val="06C57FE5"/>
    <w:rsid w:val="1A231FC1"/>
    <w:rsid w:val="1D0724F3"/>
    <w:rsid w:val="2B4C400F"/>
    <w:rsid w:val="329712AB"/>
    <w:rsid w:val="36967E1B"/>
    <w:rsid w:val="4040627D"/>
    <w:rsid w:val="5BFF76F3"/>
    <w:rsid w:val="5C6F24DD"/>
    <w:rsid w:val="5D9A089B"/>
    <w:rsid w:val="5F78640A"/>
    <w:rsid w:val="648967FC"/>
    <w:rsid w:val="67B52EC0"/>
    <w:rsid w:val="728A1C7D"/>
    <w:rsid w:val="76AC43E3"/>
    <w:rsid w:val="792E0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autoRedefine/>
    <w:qFormat/>
    <w:uiPriority w:val="0"/>
    <w:pPr>
      <w:keepNext/>
      <w:keepLines/>
      <w:spacing w:line="540" w:lineRule="atLeast"/>
      <w:outlineLvl w:val="3"/>
    </w:pPr>
    <w:rPr>
      <w:sz w:val="28"/>
      <w:szCs w:val="28"/>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rPr>
      <w:lang w:val="zh-CN"/>
    </w:rPr>
  </w:style>
  <w:style w:type="paragraph" w:styleId="4">
    <w:name w:val="Body Text"/>
    <w:basedOn w:val="1"/>
    <w:autoRedefine/>
    <w:qFormat/>
    <w:uiPriority w:val="0"/>
    <w:rPr>
      <w:sz w:val="24"/>
    </w:rPr>
  </w:style>
  <w:style w:type="paragraph" w:styleId="5">
    <w:name w:val="Body Text Indent"/>
    <w:basedOn w:val="1"/>
    <w:autoRedefine/>
    <w:qFormat/>
    <w:uiPriority w:val="0"/>
    <w:pPr>
      <w:ind w:left="480" w:hanging="480" w:hangingChars="200"/>
    </w:pPr>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4"/>
    <w:next w:val="1"/>
    <w:autoRedefine/>
    <w:qFormat/>
    <w:uiPriority w:val="0"/>
    <w:pPr>
      <w:tabs>
        <w:tab w:val="left" w:pos="208"/>
      </w:tabs>
      <w:ind w:firstLine="420" w:firstLineChars="1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paragraph" w:customStyle="1" w:styleId="13">
    <w:name w:val="List Paragraph"/>
    <w:basedOn w:val="1"/>
    <w:autoRedefine/>
    <w:qFormat/>
    <w:uiPriority w:val="0"/>
    <w:pPr>
      <w:ind w:firstLine="420" w:firstLineChars="200"/>
    </w:pPr>
  </w:style>
  <w:style w:type="paragraph" w:customStyle="1" w:styleId="14">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5">
    <w:name w:val="Table Normal"/>
    <w:autoRedefine/>
    <w:unhideWhenUsed/>
    <w:qFormat/>
    <w:uiPriority w:val="0"/>
    <w:tblPr>
      <w:tblCellMar>
        <w:top w:w="0" w:type="dxa"/>
        <w:left w:w="0" w:type="dxa"/>
        <w:bottom w:w="0" w:type="dxa"/>
        <w:right w:w="0" w:type="dxa"/>
      </w:tblCellMar>
    </w:tblPr>
  </w:style>
  <w:style w:type="character" w:customStyle="1" w:styleId="16">
    <w:name w:val="font21"/>
    <w:basedOn w:val="11"/>
    <w:autoRedefine/>
    <w:qFormat/>
    <w:uiPriority w:val="0"/>
    <w:rPr>
      <w:rFonts w:hint="eastAsia" w:ascii="宋体" w:hAnsi="宋体" w:eastAsia="宋体" w:cs="宋体"/>
      <w:color w:val="000000"/>
      <w:sz w:val="24"/>
      <w:szCs w:val="24"/>
      <w:u w:val="none"/>
    </w:rPr>
  </w:style>
  <w:style w:type="character" w:customStyle="1" w:styleId="17">
    <w:name w:val="font11"/>
    <w:basedOn w:val="11"/>
    <w:autoRedefine/>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1447</Characters>
  <Lines>0</Lines>
  <Paragraphs>0</Paragraphs>
  <TotalTime>8</TotalTime>
  <ScaleCrop>false</ScaleCrop>
  <LinksUpToDate>false</LinksUpToDate>
  <CharactersWithSpaces>1863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陈虹</cp:lastModifiedBy>
  <cp:lastPrinted>2023-07-12T16:47:00Z</cp:lastPrinted>
  <dcterms:modified xsi:type="dcterms:W3CDTF">2024-01-23T06:36:15Z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2598D318DFD84CB9A7A6ED6EDCD9528C_13</vt:lpwstr>
  </property>
</Properties>
</file>