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2024年医用耗材</w:t>
      </w:r>
      <w:r>
        <w:rPr>
          <w:rFonts w:hint="eastAsia" w:cs="Times New Roman"/>
          <w:b/>
          <w:bCs/>
          <w:sz w:val="32"/>
          <w:szCs w:val="32"/>
          <w:lang w:val="en-US" w:eastAsia="zh-CN"/>
        </w:rPr>
        <w:t>遴选的</w:t>
      </w:r>
      <w:r>
        <w:rPr>
          <w:rFonts w:hint="eastAsia"/>
          <w:b/>
          <w:bCs/>
          <w:sz w:val="32"/>
          <w:szCs w:val="32"/>
          <w:lang w:val="en-US" w:eastAsia="zh-CN"/>
        </w:rPr>
        <w:t>公告（第二批）</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一批医用耗材进行遴选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义乌市中心医院医用耗材遴选项目</w:t>
      </w:r>
      <w:r>
        <w:rPr>
          <w:rFonts w:hint="eastAsia" w:ascii="宋体" w:hAnsi="宋体" w:cs="Arial"/>
          <w:kern w:val="2"/>
          <w:sz w:val="24"/>
          <w:szCs w:val="24"/>
          <w:lang w:val="en-US" w:eastAsia="zh-CN" w:bidi="ar-SA"/>
        </w:rPr>
        <w:t>（第二批）</w:t>
      </w:r>
      <w:r>
        <w:rPr>
          <w:rFonts w:hint="eastAsia" w:ascii="宋体" w:hAnsi="宋体" w:eastAsia="宋体" w:cs="Arial"/>
          <w:kern w:val="2"/>
          <w:sz w:val="24"/>
          <w:szCs w:val="24"/>
          <w:lang w:val="en-US" w:eastAsia="zh-CN" w:bidi="ar-SA"/>
        </w:rPr>
        <w:t>，本项目分为</w:t>
      </w:r>
      <w:r>
        <w:rPr>
          <w:rFonts w:hint="eastAsia" w:ascii="宋体" w:hAnsi="宋体" w:cs="Arial"/>
          <w:kern w:val="2"/>
          <w:sz w:val="24"/>
          <w:szCs w:val="24"/>
          <w:lang w:val="en-US" w:eastAsia="zh-CN" w:bidi="ar-SA"/>
        </w:rPr>
        <w:t>九</w:t>
      </w:r>
      <w:r>
        <w:rPr>
          <w:rFonts w:hint="eastAsia" w:ascii="宋体" w:hAnsi="宋体" w:eastAsia="宋体" w:cs="Arial"/>
          <w:kern w:val="2"/>
          <w:sz w:val="24"/>
          <w:szCs w:val="24"/>
          <w:lang w:val="en-US" w:eastAsia="zh-CN" w:bidi="ar-SA"/>
        </w:rPr>
        <w:t>个标段，投标人可以选择一个或多个标段同时进行投标，投多个标段时，投标文件需按标段分开制作，并在标书封面注明标段。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宋体" w:hAnsi="宋体" w:cs="Arial"/>
          <w:kern w:val="2"/>
          <w:sz w:val="24"/>
          <w:szCs w:val="24"/>
          <w:lang w:val="en-US" w:eastAsia="zh-CN" w:bidi="ar-SA"/>
        </w:rPr>
      </w:pPr>
      <w:r>
        <w:rPr>
          <w:rFonts w:hint="eastAsia" w:ascii="宋体" w:hAnsi="宋体" w:cs="Arial"/>
          <w:kern w:val="2"/>
          <w:sz w:val="24"/>
          <w:szCs w:val="24"/>
          <w:lang w:val="en-US" w:eastAsia="zh-CN" w:bidi="ar-SA"/>
        </w:rPr>
        <w:t>产品根据两定平台标识可分为省中标产品和非中标产品（包含阳光产品和院内采购产品）。</w:t>
      </w:r>
      <w:r>
        <w:rPr>
          <w:rFonts w:hint="eastAsia" w:ascii="宋体" w:hAnsi="宋体" w:cs="Arial"/>
          <w:color w:val="0000FF"/>
          <w:kern w:val="2"/>
          <w:sz w:val="24"/>
          <w:szCs w:val="24"/>
          <w:lang w:val="en-US" w:eastAsia="zh-CN" w:bidi="ar-SA"/>
        </w:rPr>
        <w:t>省中标产品</w:t>
      </w:r>
      <w:r>
        <w:rPr>
          <w:rFonts w:hint="eastAsia" w:ascii="宋体" w:hAnsi="宋体" w:cs="Arial"/>
          <w:kern w:val="2"/>
          <w:sz w:val="24"/>
          <w:szCs w:val="24"/>
          <w:lang w:val="en-US" w:eastAsia="zh-CN" w:bidi="ar-SA"/>
        </w:rPr>
        <w:t>不设预算单价，只允许在省中标目录内进行遴选，非省标产品视为无效标。部分</w:t>
      </w:r>
      <w:r>
        <w:rPr>
          <w:rFonts w:hint="eastAsia" w:ascii="宋体" w:hAnsi="宋体" w:cs="Arial"/>
          <w:color w:val="0000FF"/>
          <w:kern w:val="2"/>
          <w:sz w:val="24"/>
          <w:szCs w:val="24"/>
          <w:lang w:val="en-US" w:eastAsia="zh-CN" w:bidi="ar-SA"/>
        </w:rPr>
        <w:t>非中标产品</w:t>
      </w:r>
      <w:r>
        <w:rPr>
          <w:rFonts w:hint="eastAsia" w:ascii="宋体" w:hAnsi="宋体" w:cs="Arial"/>
          <w:kern w:val="2"/>
          <w:sz w:val="24"/>
          <w:szCs w:val="24"/>
          <w:lang w:val="en-US" w:eastAsia="zh-CN" w:bidi="ar-SA"/>
        </w:rPr>
        <w:t>设有预算单价，为最高限价，超过则视为无效标。</w:t>
      </w:r>
    </w:p>
    <w:tbl>
      <w:tblPr>
        <w:tblStyle w:val="10"/>
        <w:tblW w:w="625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7"/>
        <w:gridCol w:w="1541"/>
        <w:gridCol w:w="2214"/>
        <w:gridCol w:w="1162"/>
        <w:gridCol w:w="2268"/>
        <w:gridCol w:w="2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物资名称</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产品类别</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平台标识</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预算/元</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规格及主要使用范围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胃肠X射线检查标记物</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胃肠X射线检查标记物</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阳光产品</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该产品适用于便秘患者的诊断、分型诊断及治疗疗效评估。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盆底修补片</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盆底修补片(不可吸收)</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中标目录</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中标单价</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适用于脱垂症的支撑治疗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03"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颅骨固定材料</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颅骨固定材料</w:t>
            </w: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中标目录</w:t>
            </w:r>
          </w:p>
        </w:tc>
        <w:tc>
          <w:tcPr>
            <w:tcW w:w="10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中标单价</w:t>
            </w:r>
          </w:p>
        </w:tc>
        <w:tc>
          <w:tcPr>
            <w:tcW w:w="1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钛网、螺钉、连接板，各规格</w:t>
            </w:r>
            <w:r>
              <w:rPr>
                <w:rFonts w:hint="eastAsia" w:ascii="宋体" w:hAnsi="宋体" w:cs="宋体"/>
                <w:i w:val="0"/>
                <w:iCs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用于重建、修复或固定外伤及其它原因所致颅骨、颌面骨缺损或骨折内固定。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03"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颅骨修补材料</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颅骨修补材料</w:t>
            </w: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四</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富血小板血浆制备用套装</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富血小板血浆制备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阳光产品</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3200</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40ml；</w:t>
            </w:r>
            <w:r>
              <w:rPr>
                <w:rFonts w:hint="eastAsia" w:ascii="宋体" w:hAnsi="宋体" w:eastAsia="宋体" w:cs="宋体"/>
                <w:i w:val="0"/>
                <w:iCs w:val="0"/>
                <w:color w:val="000000"/>
                <w:kern w:val="0"/>
                <w:sz w:val="20"/>
                <w:szCs w:val="20"/>
                <w:u w:val="none"/>
                <w:lang w:val="en-US" w:eastAsia="zh-CN" w:bidi="ar"/>
              </w:rPr>
              <w:t>制备自体富血小板血浆的套装工具，用于创伤闭合性骨折手术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五</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可吸收止血海绵</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可吸收止血海绵</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中标目录</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中标单价</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耳鼻喉科专用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六</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自体血回输机耗材</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自体血回收装置</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适配费森尤斯自体血回输机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动脉压迫止血器</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压迫止血装置</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中标目录</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中标单价</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手术后压迫止血使用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隔离衣</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隔离衣</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阳光产品</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围裙式隔离衣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一次性使用手术衣</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一次性使用无菌手术衣</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阳光产品</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120*140/130*150cm手术衣</w:t>
            </w:r>
          </w:p>
        </w:tc>
      </w:tr>
    </w:tbl>
    <w:p>
      <w:pPr>
        <w:pStyle w:val="15"/>
        <w:bidi w:val="0"/>
        <w:ind w:left="0" w:leftChars="0" w:firstLine="0" w:firstLineChars="0"/>
        <w:rPr>
          <w:rFonts w:hint="eastAsia"/>
          <w:sz w:val="24"/>
          <w:szCs w:val="24"/>
          <w:lang w:val="en-US" w:eastAsia="zh-CN"/>
        </w:rPr>
      </w:pPr>
    </w:p>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报名截止时间2024年3月21日12时。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0000FF"/>
          <w:sz w:val="24"/>
          <w:szCs w:val="24"/>
          <w:lang w:val="en-US" w:eastAsia="zh-CN"/>
        </w:rPr>
      </w:pPr>
      <w:r>
        <w:rPr>
          <w:rFonts w:hint="default"/>
          <w:color w:val="0000FF"/>
          <w:sz w:val="24"/>
          <w:szCs w:val="24"/>
          <w:lang w:val="en-US" w:eastAsia="zh-CN"/>
        </w:rPr>
        <w:drawing>
          <wp:anchor distT="0" distB="0" distL="114300" distR="114300" simplePos="0" relativeHeight="251659264" behindDoc="0" locked="0" layoutInCell="1" allowOverlap="1">
            <wp:simplePos x="0" y="0"/>
            <wp:positionH relativeFrom="column">
              <wp:posOffset>1864995</wp:posOffset>
            </wp:positionH>
            <wp:positionV relativeFrom="paragraph">
              <wp:posOffset>167005</wp:posOffset>
            </wp:positionV>
            <wp:extent cx="1494155" cy="1494155"/>
            <wp:effectExtent l="0" t="0" r="10795" b="10795"/>
            <wp:wrapTopAndBottom/>
            <wp:docPr id="1" name="图片 1" descr="第二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二批"/>
                    <pic:cNvPicPr>
                      <a:picLocks noChangeAspect="1"/>
                    </pic:cNvPicPr>
                  </pic:nvPicPr>
                  <pic:blipFill>
                    <a:blip r:embed="rId4"/>
                    <a:stretch>
                      <a:fillRect/>
                    </a:stretch>
                  </pic:blipFill>
                  <pic:spPr>
                    <a:xfrm>
                      <a:off x="0" y="0"/>
                      <a:ext cx="1494155" cy="1494155"/>
                    </a:xfrm>
                    <a:prstGeom prst="rect">
                      <a:avLst/>
                    </a:prstGeom>
                  </pic:spPr>
                </pic:pic>
              </a:graphicData>
            </a:graphic>
          </wp:anchor>
        </w:drawing>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w:t>
      </w:r>
      <w:bookmarkStart w:id="0" w:name="_GoBack"/>
      <w:bookmarkEnd w:id="0"/>
      <w:r>
        <w:rPr>
          <w:rFonts w:hint="eastAsia" w:ascii="新宋体" w:hAnsi="新宋体" w:eastAsia="新宋体"/>
          <w:sz w:val="24"/>
          <w:szCs w:val="24"/>
          <w:lang w:val="en-US" w:eastAsia="zh-CN"/>
        </w:rPr>
        <w:t>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标书投递截止时间2024年3月21日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经营许可、产品注册证、产品授权书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注：多级授权请附完整多级授权书，缺失视为无授权。</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4"/>
        <w:rPr>
          <w:rFonts w:hint="eastAsia" w:cs="Times New Roman"/>
          <w:kern w:val="2"/>
          <w:sz w:val="24"/>
          <w:szCs w:val="24"/>
          <w:lang w:val="en-US" w:eastAsia="zh-CN" w:bidi="ar-SA"/>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附件2：</w:t>
      </w:r>
      <w:r>
        <w:rPr>
          <w:rFonts w:hint="eastAsia" w:ascii="Calibri" w:hAnsi="Calibri" w:eastAsia="宋体" w:cs="Times New Roman"/>
          <w:kern w:val="2"/>
          <w:sz w:val="24"/>
          <w:szCs w:val="24"/>
          <w:lang w:val="en-US" w:eastAsia="zh-CN" w:bidi="ar-SA"/>
        </w:rPr>
        <w:t>投标产品信息一览表</w:t>
      </w:r>
      <w:r>
        <w:rPr>
          <w:rFonts w:hint="eastAsia" w:cs="Times New Roman"/>
          <w:kern w:val="2"/>
          <w:sz w:val="24"/>
          <w:szCs w:val="24"/>
          <w:lang w:val="en-US" w:eastAsia="zh-CN" w:bidi="ar-SA"/>
        </w:rPr>
        <w:t>（</w:t>
      </w:r>
      <w:r>
        <w:rPr>
          <w:rFonts w:hint="eastAsia" w:cs="Times New Roman"/>
          <w:b/>
          <w:bCs/>
          <w:kern w:val="2"/>
          <w:sz w:val="24"/>
          <w:szCs w:val="24"/>
          <w:lang w:val="en-US" w:eastAsia="zh-CN" w:bidi="ar-SA"/>
        </w:rPr>
        <w:t>将此表放于技术标首页</w:t>
      </w:r>
      <w:r>
        <w:rPr>
          <w:rFonts w:hint="eastAsia" w:cs="Times New Roman"/>
          <w:kern w:val="2"/>
          <w:sz w:val="24"/>
          <w:szCs w:val="24"/>
          <w:lang w:val="en-US" w:eastAsia="zh-CN" w:bidi="ar-SA"/>
        </w:rPr>
        <w:t>）</w:t>
      </w:r>
    </w:p>
    <w:p>
      <w:pPr>
        <w:pStyle w:val="14"/>
      </w:pPr>
      <w:r>
        <w:rPr>
          <w:rFonts w:hint="eastAsia" w:ascii="宋体" w:hAnsi="宋体" w:cs="宋体"/>
          <w:sz w:val="24"/>
          <w:szCs w:val="24"/>
          <w:lang w:val="en-US" w:eastAsia="zh-CN"/>
        </w:rPr>
        <w:t>（4）所投标产品为省中标产品的请附省平台配送目录截图或配送证明。</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4"/>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6</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样品：所有标段需提供样品，样品包装注明标段和投标公司。</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本次招标采用不见面招标，本项目开标时间：2024年3月22日9 时。开标地址：义乌市中心医院行政楼1楼109室。</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ascii="新宋体" w:hAnsi="新宋体" w:eastAsia="新宋体"/>
          <w:szCs w:val="24"/>
          <w:lang w:val="en-US" w:eastAsia="zh-CN"/>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 xml:space="preserve"> 附件2：《投标产品信息一览表》</w:t>
      </w:r>
    </w:p>
    <w:p>
      <w:pPr>
        <w:pStyle w:val="8"/>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 xml:space="preserve">   附件3：《标书封面格式》</w:t>
      </w:r>
    </w:p>
    <w:p>
      <w:pPr>
        <w:rPr>
          <w:rFonts w:hint="eastAsia"/>
          <w:lang w:val="en-US" w:eastAsia="zh-CN"/>
        </w:rPr>
      </w:pPr>
    </w:p>
    <w:p>
      <w:pPr>
        <w:ind w:firstLine="720" w:firstLineChars="300"/>
        <w:rPr>
          <w:rFonts w:hint="default"/>
          <w:color w:val="0000FF"/>
          <w:lang w:val="en-US" w:eastAsia="zh-CN"/>
        </w:rPr>
      </w:pPr>
      <w:r>
        <w:rPr>
          <w:rFonts w:hint="eastAsia" w:ascii="新宋体" w:hAnsi="新宋体" w:eastAsia="新宋体"/>
          <w:color w:val="0000FF"/>
          <w:sz w:val="24"/>
          <w:szCs w:val="24"/>
          <w:lang w:val="en-US" w:eastAsia="zh-CN"/>
        </w:rPr>
        <w:t>获取招标公告请点击下面链接</w:t>
      </w:r>
      <w:r>
        <w:rPr>
          <w:rFonts w:hint="default" w:ascii="Arial" w:hAnsi="Arial" w:eastAsia="新宋体" w:cs="Arial"/>
          <w:color w:val="0000FF"/>
          <w:sz w:val="24"/>
          <w:szCs w:val="24"/>
          <w:lang w:val="en-US" w:eastAsia="zh-CN"/>
        </w:rPr>
        <w:t>↓↓↓</w:t>
      </w:r>
    </w:p>
    <w:p>
      <w:pPr>
        <w:pStyle w:val="14"/>
        <w:rPr>
          <w:rFonts w:hint="eastAsia"/>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 xml:space="preserve">年月日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87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耗材</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875"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规格、型号</w:t>
            </w:r>
          </w:p>
          <w:p>
            <w:pPr>
              <w:jc w:val="center"/>
              <w:rPr>
                <w:rFonts w:hint="default" w:ascii="Times New Roman" w:hAnsi="Times New Roman"/>
                <w:sz w:val="24"/>
                <w:lang w:val="en-US" w:eastAsia="zh-CN"/>
              </w:rPr>
            </w:pPr>
            <w:r>
              <w:rPr>
                <w:rFonts w:hint="eastAsia" w:ascii="Times New Roman" w:hAnsi="Times New Roman"/>
                <w:sz w:val="24"/>
                <w:lang w:val="en-US" w:eastAsia="zh-CN"/>
              </w:rPr>
              <w:t>（列明所有规格）</w:t>
            </w:r>
          </w:p>
        </w:tc>
        <w:tc>
          <w:tcPr>
            <w:tcW w:w="131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9527" w:type="dxa"/>
            <w:gridSpan w:val="6"/>
            <w:noWrap w:val="0"/>
            <w:vAlign w:val="center"/>
          </w:tcPr>
          <w:p>
            <w:pPr>
              <w:jc w:val="left"/>
              <w:rPr>
                <w:rFonts w:hint="eastAsia" w:ascii="Times New Roman" w:hAnsi="Times New Roman" w:eastAsia="宋体"/>
                <w:sz w:val="24"/>
                <w:lang w:val="en-US" w:eastAsia="zh-CN"/>
              </w:rPr>
            </w:pPr>
            <w:r>
              <w:rPr>
                <w:rFonts w:hint="eastAsia" w:ascii="Times New Roman" w:hAnsi="Times New Roman"/>
                <w:sz w:val="24"/>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2"/>
      </w:pP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14"/>
        <w:ind w:left="0" w:leftChars="0" w:firstLine="0" w:firstLineChars="0"/>
        <w:rPr>
          <w:rFonts w:hint="eastAsia" w:ascii="新宋体" w:hAnsi="新宋体" w:eastAsia="新宋体" w:cs="Times New Roman"/>
          <w:b/>
          <w:bCs/>
          <w:kern w:val="2"/>
          <w:sz w:val="28"/>
          <w:szCs w:val="28"/>
          <w:lang w:val="en-US" w:eastAsia="zh-CN" w:bidi="ar-SA"/>
        </w:rPr>
      </w:pPr>
      <w:r>
        <w:rPr>
          <w:rFonts w:hint="eastAsia" w:ascii="新宋体" w:hAnsi="新宋体" w:eastAsia="新宋体" w:cs="Times New Roman"/>
          <w:b/>
          <w:bCs/>
          <w:kern w:val="2"/>
          <w:sz w:val="28"/>
          <w:szCs w:val="28"/>
          <w:lang w:val="en-US" w:eastAsia="zh-CN" w:bidi="ar-SA"/>
        </w:rPr>
        <w:t>附件2</w:t>
      </w:r>
    </w:p>
    <w:p>
      <w:pPr>
        <w:jc w:val="center"/>
        <w:rPr>
          <w:rFonts w:hint="eastAsia" w:hAnsi="宋体"/>
          <w:b/>
          <w:bCs/>
          <w:sz w:val="36"/>
          <w:lang w:val="en-US" w:eastAsia="zh-CN"/>
        </w:rPr>
      </w:pPr>
      <w:r>
        <w:rPr>
          <w:rFonts w:hint="eastAsia" w:hAnsi="宋体"/>
          <w:b/>
          <w:bCs/>
          <w:sz w:val="36"/>
          <w:lang w:val="en-US" w:eastAsia="zh-CN"/>
        </w:rPr>
        <w:t>投标产品信息一览表</w:t>
      </w:r>
    </w:p>
    <w:p>
      <w:pPr>
        <w:pStyle w:val="14"/>
        <w:rPr>
          <w:rFonts w:hint="eastAsia"/>
          <w:lang w:val="en-US"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2763"/>
        <w:gridCol w:w="1448"/>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标段分类</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耗材名称</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型号</w:t>
            </w:r>
            <w:r>
              <w:rPr>
                <w:rFonts w:hint="eastAsia"/>
                <w:sz w:val="24"/>
                <w:szCs w:val="24"/>
                <w:vertAlign w:val="baseline"/>
                <w:lang w:val="en-US" w:eastAsia="zh-CN"/>
              </w:rPr>
              <w:t>规格</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浙江分类</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 xml:space="preserve">浙江一级目录 </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浙江二级目录</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耗材统一编码</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产品ID</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耗材注册证编号</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耗材注册证名称</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采购类别</w:t>
            </w:r>
          </w:p>
        </w:tc>
        <w:tc>
          <w:tcPr>
            <w:tcW w:w="2763" w:type="dxa"/>
            <w:noWrap w:val="0"/>
            <w:vAlign w:val="center"/>
          </w:tcPr>
          <w:p>
            <w:pPr>
              <w:spacing w:line="240" w:lineRule="auto"/>
              <w:jc w:val="center"/>
              <w:rPr>
                <w:rFonts w:hint="eastAsia" w:ascii="Calibri" w:hAnsi="Calibri" w:eastAsia="宋体" w:cs="宋体"/>
                <w:kern w:val="2"/>
                <w:sz w:val="24"/>
                <w:szCs w:val="24"/>
                <w:vertAlign w:val="baseline"/>
                <w:lang w:val="en-US" w:eastAsia="zh-CN" w:bidi="ar-SA"/>
              </w:rPr>
            </w:pPr>
            <w:r>
              <w:rPr>
                <w:rFonts w:hint="eastAsia" w:ascii="Calibri" w:hAnsi="Calibri" w:eastAsia="宋体" w:cs="宋体"/>
                <w:kern w:val="2"/>
                <w:sz w:val="24"/>
                <w:szCs w:val="24"/>
                <w:vertAlign w:val="baseline"/>
                <w:lang w:val="en-US" w:eastAsia="zh-CN" w:bidi="ar-SA"/>
              </w:rPr>
              <w:sym w:font="Wingdings 2" w:char="00A3"/>
            </w:r>
            <w:r>
              <w:rPr>
                <w:rFonts w:hint="eastAsia" w:ascii="Calibri" w:hAnsi="Calibri" w:eastAsia="宋体" w:cs="宋体"/>
                <w:kern w:val="2"/>
                <w:sz w:val="24"/>
                <w:szCs w:val="24"/>
                <w:vertAlign w:val="baseline"/>
                <w:lang w:val="en-US" w:eastAsia="zh-CN" w:bidi="ar-SA"/>
              </w:rPr>
              <w:t>中标产品</w:t>
            </w:r>
          </w:p>
          <w:p>
            <w:pPr>
              <w:pStyle w:val="2"/>
              <w:spacing w:line="240" w:lineRule="auto"/>
              <w:jc w:val="center"/>
              <w:rPr>
                <w:rFonts w:hint="eastAsia"/>
                <w:lang w:val="en-US" w:eastAsia="zh-CN"/>
              </w:rPr>
            </w:pPr>
            <w:r>
              <w:rPr>
                <w:rFonts w:hint="eastAsia" w:ascii="Calibri" w:hAnsi="Calibri" w:eastAsia="宋体" w:cs="宋体"/>
                <w:kern w:val="2"/>
                <w:sz w:val="24"/>
                <w:szCs w:val="24"/>
                <w:vertAlign w:val="baseline"/>
                <w:lang w:val="en-US" w:eastAsia="zh-CN" w:bidi="ar-SA"/>
              </w:rPr>
              <w:sym w:font="Wingdings 2" w:char="00A3"/>
            </w:r>
            <w:r>
              <w:rPr>
                <w:rFonts w:hint="eastAsia" w:ascii="Calibri" w:hAnsi="Calibri" w:eastAsia="宋体" w:cs="宋体"/>
                <w:kern w:val="2"/>
                <w:sz w:val="24"/>
                <w:szCs w:val="24"/>
                <w:vertAlign w:val="baseline"/>
                <w:lang w:val="en-US" w:eastAsia="zh-CN" w:bidi="ar-SA"/>
              </w:rPr>
              <w:t>阳光采购</w:t>
            </w:r>
          </w:p>
          <w:p>
            <w:pPr>
              <w:spacing w:line="240" w:lineRule="auto"/>
              <w:jc w:val="center"/>
              <w:rPr>
                <w:rFonts w:hint="default"/>
                <w:lang w:val="en-US" w:eastAsia="zh-CN"/>
              </w:rPr>
            </w:pPr>
            <w:r>
              <w:rPr>
                <w:rFonts w:hint="eastAsia" w:ascii="Calibri" w:hAnsi="Calibri" w:eastAsia="宋体" w:cs="宋体"/>
                <w:kern w:val="2"/>
                <w:sz w:val="24"/>
                <w:szCs w:val="24"/>
                <w:vertAlign w:val="baseline"/>
                <w:lang w:val="en-US" w:eastAsia="zh-CN" w:bidi="ar-SA"/>
              </w:rPr>
              <w:sym w:font="Wingdings 2" w:char="00A3"/>
            </w:r>
            <w:r>
              <w:rPr>
                <w:rFonts w:hint="eastAsia"/>
                <w:sz w:val="24"/>
                <w:szCs w:val="24"/>
                <w:vertAlign w:val="baseline"/>
                <w:lang w:val="en-US" w:eastAsia="zh-CN"/>
              </w:rPr>
              <w:t>自行采购</w:t>
            </w:r>
          </w:p>
        </w:tc>
        <w:tc>
          <w:tcPr>
            <w:tcW w:w="1448"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品牌</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投标公司名称</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eastAsia="zh-CN"/>
              </w:rPr>
              <w:t>联系人</w:t>
            </w:r>
            <w:r>
              <w:rPr>
                <w:rFonts w:hint="eastAsia"/>
                <w:sz w:val="24"/>
                <w:szCs w:val="24"/>
                <w:vertAlign w:val="baseline"/>
                <w:lang w:val="en-US" w:eastAsia="zh-CN"/>
              </w:rPr>
              <w:t>/联系方式</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近期主要客户（省级、金华地区三级医院）</w:t>
            </w:r>
          </w:p>
        </w:tc>
        <w:tc>
          <w:tcPr>
            <w:tcW w:w="7022" w:type="dxa"/>
            <w:gridSpan w:val="3"/>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授权代表签字</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日期</w:t>
            </w:r>
          </w:p>
        </w:tc>
        <w:tc>
          <w:tcPr>
            <w:tcW w:w="2811" w:type="dxa"/>
            <w:noWrap w:val="0"/>
            <w:vAlign w:val="center"/>
          </w:tcPr>
          <w:p>
            <w:pPr>
              <w:jc w:val="center"/>
              <w:rPr>
                <w:rFonts w:hint="eastAsia"/>
                <w:sz w:val="24"/>
                <w:szCs w:val="24"/>
                <w:vertAlign w:val="baseline"/>
                <w:lang w:eastAsia="zh-CN"/>
              </w:rPr>
            </w:pPr>
          </w:p>
        </w:tc>
      </w:tr>
    </w:tbl>
    <w:p>
      <w:pPr>
        <w:rPr>
          <w:rFonts w:hint="default"/>
          <w:lang w:val="en-US" w:eastAsia="zh-CN"/>
        </w:rPr>
      </w:pPr>
      <w:r>
        <w:rPr>
          <w:rFonts w:hint="default"/>
          <w:lang w:val="en-US" w:eastAsia="zh-CN"/>
        </w:rPr>
        <w:br w:type="page"/>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附件3：密封袋封面</w:t>
      </w: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jc w:val="center"/>
        <w:rPr>
          <w:rFonts w:hint="eastAsia"/>
          <w:b/>
          <w:bCs/>
          <w:sz w:val="36"/>
          <w:szCs w:val="36"/>
          <w:lang w:val="en-US" w:eastAsia="zh-CN"/>
        </w:rPr>
      </w:pPr>
      <w:r>
        <w:rPr>
          <w:rFonts w:hint="eastAsia"/>
          <w:b/>
          <w:bCs/>
          <w:sz w:val="36"/>
          <w:szCs w:val="36"/>
        </w:rPr>
        <w:t>义乌市中心医院关于</w:t>
      </w:r>
      <w:r>
        <w:rPr>
          <w:rFonts w:hint="eastAsia"/>
          <w:b/>
          <w:bCs/>
          <w:sz w:val="36"/>
          <w:szCs w:val="36"/>
          <w:lang w:val="en-US" w:eastAsia="zh-CN"/>
        </w:rPr>
        <w:t>24年医用耗材</w:t>
      </w:r>
      <w:r>
        <w:rPr>
          <w:rFonts w:hint="eastAsia" w:cs="Times New Roman"/>
          <w:b/>
          <w:bCs/>
          <w:sz w:val="36"/>
          <w:szCs w:val="36"/>
          <w:lang w:val="en-US" w:eastAsia="zh-CN"/>
        </w:rPr>
        <w:t>遴选的</w:t>
      </w:r>
      <w:r>
        <w:rPr>
          <w:rFonts w:hint="eastAsia"/>
          <w:b/>
          <w:bCs/>
          <w:sz w:val="36"/>
          <w:szCs w:val="36"/>
          <w:lang w:val="en-US" w:eastAsia="zh-CN"/>
        </w:rPr>
        <w:t>公告</w:t>
      </w:r>
    </w:p>
    <w:p>
      <w:pPr>
        <w:jc w:val="center"/>
        <w:rPr>
          <w:rFonts w:hint="eastAsia"/>
          <w:b/>
          <w:bCs/>
          <w:sz w:val="36"/>
          <w:szCs w:val="36"/>
          <w:lang w:val="en-US" w:eastAsia="zh-CN"/>
        </w:rPr>
      </w:pPr>
      <w:r>
        <w:rPr>
          <w:rFonts w:hint="eastAsia"/>
          <w:b/>
          <w:bCs/>
          <w:sz w:val="36"/>
          <w:szCs w:val="36"/>
          <w:lang w:val="en-US" w:eastAsia="zh-CN"/>
        </w:rPr>
        <w:t>（第二批）</w:t>
      </w:r>
    </w:p>
    <w:p>
      <w:pPr>
        <w:pStyle w:val="8"/>
        <w:ind w:firstLine="3975" w:firstLineChars="1100"/>
        <w:jc w:val="center"/>
        <w:rPr>
          <w:rFonts w:hint="eastAsia"/>
          <w:b/>
          <w:bCs/>
          <w:sz w:val="36"/>
          <w:szCs w:val="36"/>
          <w:lang w:val="en-US" w:eastAsia="zh-CN"/>
        </w:rPr>
      </w:pPr>
    </w:p>
    <w:p>
      <w:pPr>
        <w:pStyle w:val="8"/>
        <w:ind w:firstLine="3975" w:firstLineChars="1100"/>
        <w:jc w:val="both"/>
        <w:rPr>
          <w:rFonts w:hint="default"/>
          <w:b/>
          <w:bCs/>
          <w:sz w:val="36"/>
          <w:szCs w:val="36"/>
          <w:lang w:val="en-US" w:eastAsia="zh-CN"/>
        </w:rPr>
      </w:pPr>
      <w:r>
        <w:rPr>
          <w:rFonts w:hint="eastAsia"/>
          <w:b/>
          <w:bCs/>
          <w:sz w:val="36"/>
          <w:szCs w:val="36"/>
          <w:lang w:val="en-US" w:eastAsia="zh-CN"/>
        </w:rPr>
        <w:t>标段：</w:t>
      </w:r>
    </w:p>
    <w:p>
      <w:pPr>
        <w:jc w:val="center"/>
        <w:rPr>
          <w:rFonts w:hint="default"/>
          <w:b/>
          <w:bCs/>
          <w:sz w:val="36"/>
          <w:szCs w:val="36"/>
          <w:lang w:val="en-US" w:eastAsia="zh-CN"/>
        </w:rPr>
      </w:pPr>
      <w:r>
        <w:rPr>
          <w:rFonts w:hint="eastAsia"/>
          <w:b/>
          <w:bCs/>
          <w:sz w:val="36"/>
          <w:szCs w:val="36"/>
          <w:lang w:val="en-US" w:eastAsia="zh-CN"/>
        </w:rPr>
        <w:t>项目：</w:t>
      </w:r>
    </w:p>
    <w:p>
      <w:pPr>
        <w:pStyle w:val="8"/>
        <w:rPr>
          <w:rFonts w:hint="default"/>
          <w:lang w:val="en-US" w:eastAsia="zh-CN"/>
        </w:rPr>
      </w:pPr>
    </w:p>
    <w:p>
      <w:pPr>
        <w:rPr>
          <w:rFonts w:hint="default"/>
          <w:lang w:val="en-US" w:eastAsia="zh-CN"/>
        </w:rPr>
      </w:pPr>
    </w:p>
    <w:p>
      <w:pPr>
        <w:pStyle w:val="8"/>
        <w:jc w:val="center"/>
        <w:rPr>
          <w:rFonts w:hint="default"/>
          <w:sz w:val="32"/>
          <w:szCs w:val="32"/>
          <w:lang w:val="en-US" w:eastAsia="zh-CN"/>
        </w:rPr>
      </w:pPr>
      <w:r>
        <w:rPr>
          <w:rFonts w:hint="eastAsia"/>
          <w:color w:val="auto"/>
          <w:sz w:val="32"/>
          <w:szCs w:val="32"/>
          <w:lang w:val="en-US" w:eastAsia="zh-CN"/>
        </w:rPr>
        <w:t>（技术文件/商</w:t>
      </w:r>
      <w:r>
        <w:rPr>
          <w:rFonts w:hint="eastAsia"/>
          <w:sz w:val="32"/>
          <w:szCs w:val="32"/>
          <w:lang w:val="en-US" w:eastAsia="zh-CN"/>
        </w:rPr>
        <w:t>务文件/样品）</w:t>
      </w: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1227446676"/>
          <w:lang w:val="en-US" w:eastAsia="zh-CN"/>
        </w:rPr>
        <w:t>投标人（加盖公章）</w:t>
      </w:r>
      <w:r>
        <w:rPr>
          <w:rFonts w:hint="eastAsia"/>
          <w:spacing w:val="7"/>
          <w:w w:val="85"/>
          <w:kern w:val="0"/>
          <w:sz w:val="28"/>
          <w:szCs w:val="28"/>
          <w:fitText w:val="2400" w:id="122744667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156711266"/>
          <w:lang w:val="en-US" w:eastAsia="zh-CN"/>
        </w:rPr>
        <w:t>法定代表人</w:t>
      </w:r>
      <w:r>
        <w:rPr>
          <w:rFonts w:hint="eastAsia" w:cs="Times New Roman"/>
          <w:spacing w:val="0"/>
          <w:kern w:val="0"/>
          <w:sz w:val="28"/>
          <w:szCs w:val="28"/>
          <w:fitText w:val="2400" w:id="15671126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22903587"/>
          <w:lang w:val="en-US" w:eastAsia="zh-CN"/>
        </w:rPr>
        <w:t>被授权人</w:t>
      </w:r>
      <w:r>
        <w:rPr>
          <w:rFonts w:hint="eastAsia"/>
          <w:spacing w:val="0"/>
          <w:kern w:val="0"/>
          <w:sz w:val="28"/>
          <w:szCs w:val="28"/>
          <w:fitText w:val="2400" w:id="1222903587"/>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cs="Times New Roman"/>
          <w:spacing w:val="1872"/>
          <w:w w:val="100"/>
          <w:kern w:val="0"/>
          <w:sz w:val="24"/>
          <w:szCs w:val="24"/>
          <w:fitText w:val="1872" w:id="1649677535"/>
          <w:lang w:val="en-US" w:eastAsia="zh-CN"/>
        </w:rPr>
      </w:pPr>
      <w:r>
        <w:rPr>
          <w:rFonts w:hint="eastAsia"/>
          <w:spacing w:val="125"/>
          <w:kern w:val="0"/>
          <w:sz w:val="28"/>
          <w:szCs w:val="28"/>
          <w:fitText w:val="2400" w:id="453783919"/>
          <w:lang w:val="en-US" w:eastAsia="zh-CN"/>
        </w:rPr>
        <w:t>联系方式</w:t>
      </w:r>
      <w:r>
        <w:rPr>
          <w:rFonts w:hint="eastAsia"/>
          <w:spacing w:val="0"/>
          <w:kern w:val="0"/>
          <w:sz w:val="28"/>
          <w:szCs w:val="28"/>
          <w:fitText w:val="2400" w:id="453783919"/>
          <w:lang w:val="en-US" w:eastAsia="zh-CN"/>
        </w:rPr>
        <w:t>：</w:t>
      </w:r>
      <w:r>
        <w:rPr>
          <w:rFonts w:hint="eastAsia"/>
          <w:kern w:val="0"/>
          <w:sz w:val="28"/>
          <w:szCs w:val="28"/>
          <w:lang w:val="en-US" w:eastAsia="zh-CN"/>
        </w:rPr>
        <w:t>_________________</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abstractNum w:abstractNumId="1">
    <w:nsid w:val="4AB8C9E0"/>
    <w:multiLevelType w:val="singleLevel"/>
    <w:tmpl w:val="4AB8C9E0"/>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00B71640"/>
    <w:rsid w:val="01587434"/>
    <w:rsid w:val="0189720A"/>
    <w:rsid w:val="069E265D"/>
    <w:rsid w:val="0A651DA7"/>
    <w:rsid w:val="0B0C4B48"/>
    <w:rsid w:val="0BD22A27"/>
    <w:rsid w:val="0D0578EB"/>
    <w:rsid w:val="0E5A6AF7"/>
    <w:rsid w:val="0E673A6D"/>
    <w:rsid w:val="0EBA7BC3"/>
    <w:rsid w:val="14041381"/>
    <w:rsid w:val="16EB42BE"/>
    <w:rsid w:val="171929B6"/>
    <w:rsid w:val="191666DA"/>
    <w:rsid w:val="1B440A68"/>
    <w:rsid w:val="1BBB4BA7"/>
    <w:rsid w:val="1C436556"/>
    <w:rsid w:val="1C7C316C"/>
    <w:rsid w:val="1CD019C7"/>
    <w:rsid w:val="229D54E1"/>
    <w:rsid w:val="288A0B19"/>
    <w:rsid w:val="2A677CA8"/>
    <w:rsid w:val="2EDC4D1F"/>
    <w:rsid w:val="308F4F4A"/>
    <w:rsid w:val="35B72A71"/>
    <w:rsid w:val="387F2677"/>
    <w:rsid w:val="3CF77889"/>
    <w:rsid w:val="3D512EB6"/>
    <w:rsid w:val="3DB22B39"/>
    <w:rsid w:val="40934E09"/>
    <w:rsid w:val="41807897"/>
    <w:rsid w:val="43D35ED6"/>
    <w:rsid w:val="44AE0D88"/>
    <w:rsid w:val="4625196C"/>
    <w:rsid w:val="496F0BFB"/>
    <w:rsid w:val="49DE4271"/>
    <w:rsid w:val="4CEB2D8A"/>
    <w:rsid w:val="4E4D4129"/>
    <w:rsid w:val="502045C6"/>
    <w:rsid w:val="521712F5"/>
    <w:rsid w:val="53C0404C"/>
    <w:rsid w:val="54786EE6"/>
    <w:rsid w:val="566C06B8"/>
    <w:rsid w:val="570C5CDB"/>
    <w:rsid w:val="58483B22"/>
    <w:rsid w:val="584F2744"/>
    <w:rsid w:val="58E41C60"/>
    <w:rsid w:val="5AD54AB9"/>
    <w:rsid w:val="5BE36AC3"/>
    <w:rsid w:val="5DDB5C61"/>
    <w:rsid w:val="5F476B09"/>
    <w:rsid w:val="5FDE21DF"/>
    <w:rsid w:val="622B3155"/>
    <w:rsid w:val="65686562"/>
    <w:rsid w:val="657F58CB"/>
    <w:rsid w:val="68BE495C"/>
    <w:rsid w:val="69CB4A51"/>
    <w:rsid w:val="6BC53D4C"/>
    <w:rsid w:val="6E997C25"/>
    <w:rsid w:val="6EF8049C"/>
    <w:rsid w:val="74116696"/>
    <w:rsid w:val="79AD2DE0"/>
    <w:rsid w:val="7B123E95"/>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99"/>
    <w:pPr>
      <w:adjustRightInd w:val="0"/>
      <w:spacing w:line="312" w:lineRule="atLeast"/>
      <w:ind w:firstLine="420"/>
      <w:textAlignment w:val="baseline"/>
    </w:pPr>
    <w:rPr>
      <w:kern w:val="0"/>
      <w:szCs w:val="20"/>
    </w:rPr>
  </w:style>
  <w:style w:type="paragraph" w:styleId="4">
    <w:name w:val="Body Text Indent"/>
    <w:basedOn w:val="1"/>
    <w:next w:val="3"/>
    <w:autoRedefine/>
    <w:qFormat/>
    <w:uiPriority w:val="0"/>
    <w:pPr>
      <w:ind w:left="480" w:hanging="480" w:hangingChars="200"/>
    </w:pPr>
    <w:rPr>
      <w:sz w:val="24"/>
    </w:rPr>
  </w:style>
  <w:style w:type="paragraph" w:styleId="5">
    <w:name w:val="Body Text"/>
    <w:basedOn w:val="1"/>
    <w:qFormat/>
    <w:uiPriority w:val="0"/>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5"/>
    <w:next w:val="1"/>
    <w:qFormat/>
    <w:uiPriority w:val="0"/>
    <w:pPr>
      <w:tabs>
        <w:tab w:val="left" w:pos="208"/>
      </w:tabs>
      <w:ind w:firstLine="420" w:firstLineChars="100"/>
    </w:pPr>
  </w:style>
  <w:style w:type="paragraph" w:styleId="9">
    <w:name w:val="Body Text First Indent 2"/>
    <w:basedOn w:val="4"/>
    <w:autoRedefine/>
    <w:qFormat/>
    <w:uiPriority w:val="0"/>
    <w:pPr>
      <w:spacing w:after="120" w:line="240" w:lineRule="auto"/>
      <w:ind w:left="420" w:leftChars="200" w:firstLine="420"/>
    </w:pPr>
    <w:rPr>
      <w:rFonts w:cs="宋体"/>
      <w:sz w:val="21"/>
      <w:szCs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首行缩进"/>
    <w:basedOn w:val="1"/>
    <w:autoRedefine/>
    <w:qFormat/>
    <w:uiPriority w:val="0"/>
    <w:pPr>
      <w:ind w:firstLine="480" w:firstLineChars="200"/>
    </w:pPr>
    <w:rPr>
      <w:lang w:val="zh-CN"/>
    </w:rPr>
  </w:style>
  <w:style w:type="paragraph" w:styleId="15">
    <w:name w:val="List Paragraph"/>
    <w:basedOn w:val="1"/>
    <w:autoRedefine/>
    <w:qFormat/>
    <w:uiPriority w:val="0"/>
    <w:pPr>
      <w:ind w:firstLine="420" w:firstLineChars="200"/>
    </w:pPr>
  </w:style>
  <w:style w:type="paragraph" w:customStyle="1" w:styleId="16">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character" w:customStyle="1" w:styleId="18">
    <w:name w:val="font51"/>
    <w:basedOn w:val="12"/>
    <w:autoRedefine/>
    <w:qFormat/>
    <w:uiPriority w:val="0"/>
    <w:rPr>
      <w:rFonts w:hint="eastAsia" w:ascii="宋体" w:hAnsi="宋体" w:eastAsia="宋体" w:cs="宋体"/>
      <w:b/>
      <w:bCs/>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55</TotalTime>
  <ScaleCrop>false</ScaleCrop>
  <LinksUpToDate>false</LinksUpToDate>
  <CharactersWithSpaces>2592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cp:lastPrinted>2023-12-05T07:44:00Z</cp:lastPrinted>
  <dcterms:modified xsi:type="dcterms:W3CDTF">2024-03-14T06:52:55Z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5190A7D7D2994CF88574652384D1A500_13</vt:lpwstr>
  </property>
</Properties>
</file>