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FA9A">
      <w:pPr>
        <w:rPr>
          <w:rFonts w:hint="eastAsia" w:ascii="仿宋" w:hAnsi="仿宋" w:eastAsia="仿宋"/>
          <w:color w:val="auto"/>
          <w:highlight w:val="none"/>
        </w:rPr>
      </w:pPr>
      <w:bookmarkStart w:id="20" w:name="_GoBack"/>
    </w:p>
    <w:p w14:paraId="0CF9273D">
      <w:pPr>
        <w:rPr>
          <w:rFonts w:ascii="仿宋" w:hAnsi="仿宋" w:eastAsia="仿宋"/>
          <w:color w:val="auto"/>
          <w:highlight w:val="none"/>
        </w:rPr>
      </w:pPr>
    </w:p>
    <w:p w14:paraId="0DCACA2B">
      <w:pPr>
        <w:jc w:val="center"/>
        <w:rPr>
          <w:rFonts w:ascii="仿宋" w:hAnsi="仿宋" w:eastAsia="仿宋"/>
          <w:color w:val="auto"/>
          <w:sz w:val="96"/>
          <w:szCs w:val="96"/>
          <w:highlight w:val="none"/>
        </w:rPr>
      </w:pPr>
    </w:p>
    <w:p w14:paraId="1326B2DC">
      <w:pPr>
        <w:jc w:val="center"/>
        <w:rPr>
          <w:rFonts w:ascii="仿宋" w:hAnsi="仿宋" w:eastAsia="仿宋"/>
          <w:color w:val="auto"/>
          <w:sz w:val="96"/>
          <w:szCs w:val="96"/>
          <w:highlight w:val="none"/>
        </w:rPr>
      </w:pPr>
    </w:p>
    <w:p w14:paraId="5DEBCED4">
      <w:pPr>
        <w:jc w:val="center"/>
        <w:rPr>
          <w:rFonts w:ascii="黑体" w:hAnsi="黑体" w:eastAsia="黑体"/>
          <w:color w:val="auto"/>
          <w:sz w:val="96"/>
          <w:szCs w:val="96"/>
          <w:highlight w:val="none"/>
        </w:rPr>
      </w:pPr>
      <w:r>
        <w:rPr>
          <w:rFonts w:ascii="黑体" w:hAnsi="黑体" w:eastAsia="黑体"/>
          <w:color w:val="auto"/>
          <w:sz w:val="96"/>
          <w:szCs w:val="96"/>
          <w:highlight w:val="none"/>
        </w:rPr>
        <w:t>招</w:t>
      </w:r>
      <w:r>
        <w:rPr>
          <w:rFonts w:hint="eastAsia" w:ascii="黑体" w:hAnsi="黑体" w:eastAsia="黑体"/>
          <w:color w:val="auto"/>
          <w:sz w:val="96"/>
          <w:szCs w:val="96"/>
          <w:highlight w:val="none"/>
        </w:rPr>
        <w:t xml:space="preserve"> </w:t>
      </w:r>
      <w:r>
        <w:rPr>
          <w:rFonts w:ascii="黑体" w:hAnsi="黑体" w:eastAsia="黑体"/>
          <w:color w:val="auto"/>
          <w:sz w:val="96"/>
          <w:szCs w:val="96"/>
          <w:highlight w:val="none"/>
        </w:rPr>
        <w:t>标</w:t>
      </w:r>
      <w:r>
        <w:rPr>
          <w:rFonts w:hint="eastAsia" w:ascii="黑体" w:hAnsi="黑体" w:eastAsia="黑体"/>
          <w:color w:val="auto"/>
          <w:sz w:val="96"/>
          <w:szCs w:val="96"/>
          <w:highlight w:val="none"/>
        </w:rPr>
        <w:t xml:space="preserve"> </w:t>
      </w:r>
      <w:r>
        <w:rPr>
          <w:rFonts w:ascii="黑体" w:hAnsi="黑体" w:eastAsia="黑体"/>
          <w:color w:val="auto"/>
          <w:sz w:val="96"/>
          <w:szCs w:val="96"/>
          <w:highlight w:val="none"/>
        </w:rPr>
        <w:t>文</w:t>
      </w:r>
      <w:r>
        <w:rPr>
          <w:rFonts w:hint="eastAsia" w:ascii="黑体" w:hAnsi="黑体" w:eastAsia="黑体"/>
          <w:color w:val="auto"/>
          <w:sz w:val="96"/>
          <w:szCs w:val="96"/>
          <w:highlight w:val="none"/>
        </w:rPr>
        <w:t xml:space="preserve"> </w:t>
      </w:r>
      <w:r>
        <w:rPr>
          <w:rFonts w:ascii="黑体" w:hAnsi="黑体" w:eastAsia="黑体"/>
          <w:color w:val="auto"/>
          <w:sz w:val="96"/>
          <w:szCs w:val="96"/>
          <w:highlight w:val="none"/>
        </w:rPr>
        <w:t>件</w:t>
      </w:r>
    </w:p>
    <w:p w14:paraId="085C5694">
      <w:pPr>
        <w:jc w:val="center"/>
        <w:rPr>
          <w:rFonts w:ascii="仿宋" w:hAnsi="仿宋" w:eastAsia="仿宋"/>
          <w:color w:val="auto"/>
          <w:sz w:val="96"/>
          <w:szCs w:val="96"/>
          <w:highlight w:val="none"/>
        </w:rPr>
      </w:pPr>
    </w:p>
    <w:p w14:paraId="32FAC87B">
      <w:pPr>
        <w:jc w:val="left"/>
        <w:rPr>
          <w:rFonts w:hint="eastAsia" w:ascii="黑体" w:hAnsi="黑体" w:eastAsia="黑体"/>
          <w:b/>
          <w:color w:val="auto"/>
          <w:sz w:val="28"/>
          <w:szCs w:val="28"/>
          <w:highlight w:val="none"/>
          <w:lang w:val="en-US" w:eastAsia="zh-CN"/>
        </w:rPr>
      </w:pPr>
      <w:r>
        <w:rPr>
          <w:rFonts w:hint="eastAsia" w:ascii="黑体" w:hAnsi="黑体" w:eastAsia="黑体"/>
          <w:b/>
          <w:color w:val="auto"/>
          <w:sz w:val="28"/>
          <w:szCs w:val="28"/>
          <w:highlight w:val="none"/>
        </w:rPr>
        <w:t>采购</w:t>
      </w:r>
      <w:r>
        <w:rPr>
          <w:rFonts w:ascii="黑体" w:hAnsi="黑体" w:eastAsia="黑体"/>
          <w:b/>
          <w:color w:val="auto"/>
          <w:sz w:val="28"/>
          <w:szCs w:val="28"/>
          <w:highlight w:val="none"/>
        </w:rPr>
        <w:t>编号</w:t>
      </w:r>
      <w:r>
        <w:rPr>
          <w:rFonts w:hint="eastAsia" w:ascii="黑体" w:hAnsi="黑体" w:eastAsia="黑体"/>
          <w:b/>
          <w:color w:val="auto"/>
          <w:sz w:val="28"/>
          <w:szCs w:val="28"/>
          <w:highlight w:val="none"/>
        </w:rPr>
        <w:t>:</w:t>
      </w:r>
      <w:r>
        <w:rPr>
          <w:rFonts w:ascii="黑体" w:hAnsi="黑体" w:eastAsia="黑体"/>
          <w:b/>
          <w:color w:val="auto"/>
          <w:sz w:val="28"/>
          <w:szCs w:val="28"/>
          <w:highlight w:val="none"/>
        </w:rPr>
        <w:t xml:space="preserve"> </w:t>
      </w:r>
    </w:p>
    <w:p w14:paraId="5CEEFC4D">
      <w:pPr>
        <w:ind w:left="1383" w:hanging="1383" w:hangingChars="492"/>
        <w:jc w:val="left"/>
        <w:rPr>
          <w:rFonts w:ascii="黑体" w:hAnsi="黑体" w:eastAsia="黑体"/>
          <w:b/>
          <w:color w:val="auto"/>
          <w:sz w:val="28"/>
          <w:szCs w:val="28"/>
          <w:highlight w:val="none"/>
        </w:rPr>
      </w:pPr>
      <w:r>
        <w:rPr>
          <w:rFonts w:hint="eastAsia" w:ascii="黑体" w:hAnsi="黑体" w:eastAsia="黑体"/>
          <w:b/>
          <w:color w:val="auto"/>
          <w:sz w:val="28"/>
          <w:szCs w:val="28"/>
          <w:highlight w:val="none"/>
        </w:rPr>
        <w:t>项目名称：</w:t>
      </w:r>
      <w:r>
        <w:rPr>
          <w:rFonts w:hint="eastAsia" w:ascii="黑体" w:hAnsi="黑体" w:eastAsia="黑体"/>
          <w:b/>
          <w:color w:val="auto"/>
          <w:sz w:val="28"/>
          <w:szCs w:val="28"/>
          <w:highlight w:val="none"/>
          <w:lang w:eastAsia="zh-CN"/>
        </w:rPr>
        <w:t>义乌市中</w:t>
      </w:r>
      <w:r>
        <w:rPr>
          <w:rFonts w:hint="eastAsia" w:ascii="黑体" w:hAnsi="黑体" w:eastAsia="黑体"/>
          <w:b/>
          <w:color w:val="auto"/>
          <w:sz w:val="28"/>
          <w:szCs w:val="28"/>
          <w:highlight w:val="none"/>
          <w:lang w:val="en-US" w:eastAsia="zh-CN"/>
        </w:rPr>
        <w:t>心</w:t>
      </w:r>
      <w:r>
        <w:rPr>
          <w:rFonts w:hint="eastAsia" w:ascii="黑体" w:hAnsi="黑体" w:eastAsia="黑体"/>
          <w:b/>
          <w:color w:val="auto"/>
          <w:sz w:val="28"/>
          <w:szCs w:val="28"/>
          <w:highlight w:val="none"/>
          <w:lang w:eastAsia="zh-CN"/>
        </w:rPr>
        <w:t>医院一般工程类项目招标代理服务</w:t>
      </w:r>
    </w:p>
    <w:p w14:paraId="7F72D1EA">
      <w:pPr>
        <w:rPr>
          <w:rFonts w:ascii="仿宋" w:hAnsi="仿宋" w:eastAsia="仿宋"/>
          <w:color w:val="auto"/>
          <w:sz w:val="28"/>
          <w:szCs w:val="28"/>
          <w:highlight w:val="none"/>
        </w:rPr>
      </w:pPr>
    </w:p>
    <w:p w14:paraId="7B1C4BA6">
      <w:pPr>
        <w:rPr>
          <w:rFonts w:ascii="仿宋" w:hAnsi="仿宋" w:eastAsia="仿宋"/>
          <w:color w:val="auto"/>
          <w:sz w:val="28"/>
          <w:szCs w:val="28"/>
          <w:highlight w:val="none"/>
        </w:rPr>
      </w:pPr>
    </w:p>
    <w:p w14:paraId="4CA3865F">
      <w:pPr>
        <w:rPr>
          <w:rFonts w:ascii="仿宋" w:hAnsi="仿宋" w:eastAsia="仿宋"/>
          <w:color w:val="auto"/>
          <w:sz w:val="28"/>
          <w:szCs w:val="28"/>
          <w:highlight w:val="none"/>
        </w:rPr>
      </w:pPr>
    </w:p>
    <w:p w14:paraId="4E817FFE">
      <w:pPr>
        <w:rPr>
          <w:rFonts w:ascii="仿宋" w:hAnsi="仿宋" w:eastAsia="仿宋"/>
          <w:color w:val="auto"/>
          <w:sz w:val="28"/>
          <w:szCs w:val="28"/>
          <w:highlight w:val="none"/>
        </w:rPr>
      </w:pPr>
    </w:p>
    <w:p w14:paraId="0780130A">
      <w:pPr>
        <w:jc w:val="center"/>
        <w:rPr>
          <w:rFonts w:ascii="黑体" w:hAnsi="黑体" w:eastAsia="黑体"/>
          <w:color w:val="auto"/>
          <w:sz w:val="28"/>
          <w:szCs w:val="28"/>
          <w:highlight w:val="none"/>
        </w:rPr>
      </w:pPr>
    </w:p>
    <w:p w14:paraId="75C79B29">
      <w:pPr>
        <w:jc w:val="center"/>
        <w:rPr>
          <w:rFonts w:hint="eastAsia" w:ascii="黑体" w:hAnsi="黑体" w:eastAsia="黑体"/>
          <w:b/>
          <w:color w:val="auto"/>
          <w:sz w:val="28"/>
          <w:szCs w:val="28"/>
          <w:highlight w:val="none"/>
          <w:lang w:eastAsia="zh-CN"/>
        </w:rPr>
      </w:pPr>
      <w:r>
        <w:rPr>
          <w:rFonts w:hint="eastAsia" w:ascii="黑体" w:hAnsi="黑体" w:eastAsia="黑体"/>
          <w:b/>
          <w:color w:val="auto"/>
          <w:sz w:val="28"/>
          <w:szCs w:val="28"/>
          <w:highlight w:val="none"/>
          <w:lang w:eastAsia="zh-CN"/>
        </w:rPr>
        <w:t>义乌市中心医院</w:t>
      </w:r>
    </w:p>
    <w:p w14:paraId="212523A2">
      <w:pPr>
        <w:pStyle w:val="9"/>
        <w:spacing w:before="150" w:line="360" w:lineRule="atLeast"/>
        <w:jc w:val="center"/>
        <w:rPr>
          <w:rFonts w:ascii="黑体" w:hAnsi="黑体" w:eastAsia="黑体"/>
          <w:b/>
          <w:color w:val="auto"/>
          <w:sz w:val="28"/>
          <w:szCs w:val="28"/>
          <w:highlight w:val="none"/>
        </w:rPr>
      </w:pPr>
      <w:r>
        <w:rPr>
          <w:rFonts w:hint="eastAsia" w:ascii="黑体" w:hAnsi="黑体" w:eastAsia="黑体"/>
          <w:b/>
          <w:color w:val="auto"/>
          <w:sz w:val="28"/>
          <w:szCs w:val="28"/>
          <w:highlight w:val="none"/>
        </w:rPr>
        <w:t>二</w:t>
      </w:r>
      <w:r>
        <w:rPr>
          <w:rFonts w:ascii="黑体" w:hAnsi="黑体" w:eastAsia="黑体"/>
          <w:b/>
          <w:color w:val="auto"/>
          <w:sz w:val="28"/>
          <w:szCs w:val="28"/>
          <w:highlight w:val="none"/>
        </w:rPr>
        <w:t>〇</w:t>
      </w:r>
      <w:r>
        <w:rPr>
          <w:rFonts w:hint="eastAsia" w:ascii="黑体" w:hAnsi="黑体" w:eastAsia="黑体"/>
          <w:b/>
          <w:color w:val="auto"/>
          <w:sz w:val="28"/>
          <w:szCs w:val="28"/>
          <w:highlight w:val="none"/>
        </w:rPr>
        <w:t>二</w:t>
      </w:r>
      <w:r>
        <w:rPr>
          <w:rFonts w:hint="eastAsia" w:ascii="黑体" w:hAnsi="黑体" w:eastAsia="黑体"/>
          <w:b/>
          <w:color w:val="auto"/>
          <w:sz w:val="28"/>
          <w:szCs w:val="28"/>
          <w:highlight w:val="none"/>
          <w:lang w:val="en-US" w:eastAsia="zh-CN"/>
        </w:rPr>
        <w:t>五</w:t>
      </w:r>
      <w:r>
        <w:rPr>
          <w:rFonts w:hint="eastAsia" w:ascii="黑体" w:hAnsi="黑体" w:eastAsia="黑体"/>
          <w:b/>
          <w:color w:val="auto"/>
          <w:sz w:val="28"/>
          <w:szCs w:val="28"/>
          <w:highlight w:val="none"/>
        </w:rPr>
        <w:t>年</w:t>
      </w:r>
      <w:r>
        <w:rPr>
          <w:rFonts w:hint="eastAsia" w:ascii="黑体" w:hAnsi="黑体" w:eastAsia="黑体"/>
          <w:b/>
          <w:color w:val="auto"/>
          <w:sz w:val="28"/>
          <w:szCs w:val="28"/>
          <w:highlight w:val="none"/>
          <w:lang w:val="en-US" w:eastAsia="zh-CN"/>
        </w:rPr>
        <w:t>三</w:t>
      </w:r>
      <w:r>
        <w:rPr>
          <w:rFonts w:ascii="黑体" w:hAnsi="黑体" w:eastAsia="黑体"/>
          <w:b/>
          <w:color w:val="auto"/>
          <w:sz w:val="28"/>
          <w:szCs w:val="28"/>
          <w:highlight w:val="none"/>
        </w:rPr>
        <w:t>月</w:t>
      </w:r>
    </w:p>
    <w:p w14:paraId="60288C72">
      <w:pPr>
        <w:autoSpaceDE w:val="0"/>
        <w:autoSpaceDN w:val="0"/>
        <w:adjustRightInd w:val="0"/>
        <w:spacing w:line="360" w:lineRule="auto"/>
        <w:ind w:firstLine="3036" w:firstLineChars="945"/>
        <w:rPr>
          <w:rFonts w:hint="eastAsia" w:ascii="仿宋" w:hAnsi="仿宋" w:eastAsia="仿宋"/>
          <w:b/>
          <w:bCs/>
          <w:color w:val="auto"/>
          <w:sz w:val="32"/>
          <w:szCs w:val="32"/>
          <w:highlight w:val="none"/>
          <w:lang w:val="zh-CN"/>
        </w:rPr>
      </w:pPr>
    </w:p>
    <w:p w14:paraId="596F6C6C">
      <w:pPr>
        <w:autoSpaceDE w:val="0"/>
        <w:autoSpaceDN w:val="0"/>
        <w:adjustRightInd w:val="0"/>
        <w:spacing w:line="360" w:lineRule="auto"/>
        <w:ind w:firstLine="3036" w:firstLineChars="945"/>
        <w:rPr>
          <w:rFonts w:hint="eastAsia" w:ascii="仿宋" w:hAnsi="仿宋" w:eastAsia="仿宋"/>
          <w:b/>
          <w:bCs/>
          <w:color w:val="auto"/>
          <w:sz w:val="32"/>
          <w:szCs w:val="32"/>
          <w:highlight w:val="none"/>
          <w:lang w:val="zh-CN"/>
        </w:rPr>
      </w:pPr>
    </w:p>
    <w:p w14:paraId="14D8FFF4">
      <w:pPr>
        <w:autoSpaceDE w:val="0"/>
        <w:autoSpaceDN w:val="0"/>
        <w:adjustRightInd w:val="0"/>
        <w:spacing w:line="360" w:lineRule="auto"/>
        <w:rPr>
          <w:rFonts w:hint="eastAsia" w:ascii="仿宋" w:hAnsi="仿宋" w:eastAsia="仿宋"/>
          <w:b/>
          <w:bCs/>
          <w:color w:val="auto"/>
          <w:sz w:val="32"/>
          <w:szCs w:val="32"/>
          <w:highlight w:val="none"/>
          <w:lang w:val="zh-CN"/>
        </w:rPr>
      </w:pPr>
    </w:p>
    <w:p w14:paraId="5DE76422">
      <w:pPr>
        <w:autoSpaceDE w:val="0"/>
        <w:autoSpaceDN w:val="0"/>
        <w:adjustRightInd w:val="0"/>
        <w:spacing w:line="360" w:lineRule="auto"/>
        <w:ind w:firstLine="3036" w:firstLineChars="945"/>
        <w:rPr>
          <w:rFonts w:ascii="仿宋" w:hAnsi="仿宋" w:eastAsia="仿宋"/>
          <w:b/>
          <w:bCs/>
          <w:color w:val="auto"/>
          <w:sz w:val="32"/>
          <w:szCs w:val="32"/>
          <w:highlight w:val="none"/>
          <w:lang w:val="zh-CN"/>
        </w:rPr>
      </w:pPr>
      <w:r>
        <w:rPr>
          <w:rFonts w:hint="eastAsia" w:ascii="仿宋" w:hAnsi="仿宋" w:eastAsia="仿宋"/>
          <w:b/>
          <w:bCs/>
          <w:color w:val="auto"/>
          <w:sz w:val="32"/>
          <w:szCs w:val="32"/>
          <w:highlight w:val="none"/>
          <w:lang w:val="zh-CN"/>
        </w:rPr>
        <w:t>第一章 招标公告</w:t>
      </w:r>
    </w:p>
    <w:p w14:paraId="0B86FFD4">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义乌市中心医院</w:t>
      </w:r>
      <w:r>
        <w:rPr>
          <w:rFonts w:hint="eastAsia" w:ascii="仿宋" w:hAnsi="仿宋" w:eastAsia="仿宋"/>
          <w:b/>
          <w:color w:val="auto"/>
          <w:sz w:val="24"/>
          <w:highlight w:val="none"/>
          <w:lang w:eastAsia="zh-CN"/>
        </w:rPr>
        <w:t>工程类</w:t>
      </w:r>
      <w:r>
        <w:rPr>
          <w:rFonts w:hint="eastAsia" w:ascii="仿宋" w:hAnsi="仿宋" w:eastAsia="仿宋"/>
          <w:b/>
          <w:color w:val="auto"/>
          <w:sz w:val="24"/>
          <w:highlight w:val="none"/>
        </w:rPr>
        <w:t>项目招标代理服务</w:t>
      </w:r>
      <w:r>
        <w:rPr>
          <w:rFonts w:hint="eastAsia" w:ascii="仿宋" w:hAnsi="仿宋" w:eastAsia="仿宋"/>
          <w:color w:val="auto"/>
          <w:sz w:val="24"/>
          <w:highlight w:val="none"/>
          <w:lang w:eastAsia="zh-CN"/>
        </w:rPr>
        <w:t>经院长办公会</w:t>
      </w:r>
      <w:r>
        <w:rPr>
          <w:rFonts w:hint="eastAsia" w:ascii="仿宋" w:hAnsi="仿宋" w:eastAsia="仿宋"/>
          <w:color w:val="auto"/>
          <w:sz w:val="24"/>
          <w:highlight w:val="none"/>
          <w:lang w:val="en-US" w:eastAsia="zh-CN"/>
        </w:rPr>
        <w:t>决议</w:t>
      </w:r>
      <w:r>
        <w:rPr>
          <w:rFonts w:hint="eastAsia" w:ascii="仿宋" w:hAnsi="仿宋" w:eastAsia="仿宋"/>
          <w:color w:val="auto"/>
          <w:sz w:val="24"/>
          <w:highlight w:val="none"/>
          <w:lang w:eastAsia="zh-CN"/>
        </w:rPr>
        <w:t>同意对</w:t>
      </w:r>
      <w:r>
        <w:rPr>
          <w:rFonts w:hint="eastAsia" w:ascii="仿宋" w:hAnsi="仿宋" w:eastAsia="仿宋"/>
          <w:color w:val="auto"/>
          <w:sz w:val="24"/>
          <w:highlight w:val="none"/>
        </w:rPr>
        <w:t>该项目</w:t>
      </w:r>
      <w:r>
        <w:rPr>
          <w:rFonts w:hint="eastAsia" w:ascii="仿宋" w:hAnsi="仿宋" w:eastAsia="仿宋"/>
          <w:color w:val="auto"/>
          <w:sz w:val="24"/>
          <w:highlight w:val="none"/>
          <w:lang w:eastAsia="zh-CN"/>
        </w:rPr>
        <w:t>进行</w:t>
      </w:r>
      <w:r>
        <w:rPr>
          <w:rFonts w:hint="eastAsia" w:ascii="仿宋" w:hAnsi="仿宋" w:eastAsia="仿宋"/>
          <w:color w:val="auto"/>
          <w:sz w:val="24"/>
          <w:highlight w:val="none"/>
          <w:lang w:val="en-US" w:eastAsia="zh-CN"/>
        </w:rPr>
        <w:t>院内</w:t>
      </w:r>
      <w:r>
        <w:rPr>
          <w:rFonts w:hint="eastAsia" w:ascii="仿宋" w:hAnsi="仿宋" w:eastAsia="仿宋"/>
          <w:color w:val="auto"/>
          <w:sz w:val="24"/>
          <w:highlight w:val="none"/>
          <w:lang w:eastAsia="zh-CN"/>
        </w:rPr>
        <w:t>公开招标，欢迎符合资质要求的招标代理机构参加投标。</w:t>
      </w:r>
    </w:p>
    <w:p w14:paraId="7727FF5E">
      <w:pPr>
        <w:numPr>
          <w:ilvl w:val="0"/>
          <w:numId w:val="1"/>
        </w:numPr>
        <w:spacing w:line="360" w:lineRule="auto"/>
        <w:ind w:leftChars="0"/>
        <w:rPr>
          <w:rFonts w:hint="eastAsia"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olor w:val="auto"/>
          <w:sz w:val="24"/>
          <w:highlight w:val="none"/>
          <w:lang w:val="en-US" w:eastAsia="zh-CN"/>
        </w:rPr>
        <w:t>/</w:t>
      </w:r>
    </w:p>
    <w:p w14:paraId="0658F09D">
      <w:pPr>
        <w:numPr>
          <w:ilvl w:val="0"/>
          <w:numId w:val="0"/>
        </w:numPr>
        <w:spacing w:line="360" w:lineRule="auto"/>
        <w:rPr>
          <w:rFonts w:ascii="仿宋" w:hAnsi="仿宋" w:eastAsia="仿宋"/>
          <w:color w:val="auto"/>
          <w:sz w:val="24"/>
          <w:highlight w:val="none"/>
        </w:rPr>
      </w:pP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采购组织类型：分散采购</w:t>
      </w:r>
    </w:p>
    <w:p w14:paraId="3B0153D3">
      <w:pPr>
        <w:numPr>
          <w:ilvl w:val="0"/>
          <w:numId w:val="0"/>
        </w:numPr>
        <w:spacing w:line="360" w:lineRule="auto"/>
        <w:ind w:leftChars="0"/>
        <w:rPr>
          <w:rFonts w:ascii="仿宋" w:hAnsi="仿宋" w:eastAsia="仿宋"/>
          <w:color w:val="auto"/>
          <w:sz w:val="24"/>
          <w:highlight w:val="none"/>
        </w:rPr>
      </w:pPr>
      <w:r>
        <w:rPr>
          <w:rFonts w:hint="eastAsia" w:ascii="仿宋" w:hAnsi="仿宋" w:eastAsia="仿宋"/>
          <w:color w:val="auto"/>
          <w:sz w:val="24"/>
          <w:highlight w:val="none"/>
          <w:lang w:eastAsia="zh-CN"/>
        </w:rPr>
        <w:t>三、</w:t>
      </w:r>
      <w:r>
        <w:rPr>
          <w:rFonts w:hint="eastAsia" w:ascii="仿宋" w:hAnsi="仿宋" w:eastAsia="仿宋"/>
          <w:color w:val="auto"/>
          <w:sz w:val="24"/>
          <w:highlight w:val="none"/>
        </w:rPr>
        <w:t>采购方式：</w:t>
      </w:r>
      <w:r>
        <w:rPr>
          <w:rFonts w:hint="eastAsia" w:ascii="仿宋" w:hAnsi="仿宋" w:eastAsia="仿宋"/>
          <w:color w:val="auto"/>
          <w:sz w:val="24"/>
          <w:highlight w:val="none"/>
          <w:lang w:val="en-US" w:eastAsia="zh-CN"/>
        </w:rPr>
        <w:t>院内</w:t>
      </w:r>
      <w:r>
        <w:rPr>
          <w:rFonts w:hint="eastAsia" w:ascii="仿宋" w:hAnsi="仿宋" w:eastAsia="仿宋"/>
          <w:color w:val="auto"/>
          <w:sz w:val="24"/>
          <w:highlight w:val="none"/>
        </w:rPr>
        <w:t>招标</w:t>
      </w:r>
    </w:p>
    <w:p w14:paraId="008288EF">
      <w:pPr>
        <w:numPr>
          <w:ilvl w:val="0"/>
          <w:numId w:val="0"/>
        </w:numPr>
        <w:spacing w:line="360" w:lineRule="auto"/>
        <w:ind w:leftChars="0"/>
        <w:rPr>
          <w:rFonts w:hint="eastAsia" w:ascii="仿宋" w:hAnsi="仿宋" w:eastAsia="仿宋"/>
          <w:b/>
          <w:bCs/>
          <w:color w:val="auto"/>
          <w:sz w:val="24"/>
          <w:highlight w:val="none"/>
        </w:rPr>
      </w:pPr>
      <w:r>
        <w:rPr>
          <w:rFonts w:hint="eastAsia" w:ascii="仿宋" w:hAnsi="仿宋" w:eastAsia="仿宋"/>
          <w:b/>
          <w:bCs/>
          <w:color w:val="auto"/>
          <w:sz w:val="24"/>
          <w:highlight w:val="none"/>
          <w:lang w:eastAsia="zh-CN"/>
        </w:rPr>
        <w:t>四、</w:t>
      </w:r>
      <w:r>
        <w:rPr>
          <w:rFonts w:hint="eastAsia" w:ascii="仿宋" w:hAnsi="仿宋" w:eastAsia="仿宋"/>
          <w:b/>
          <w:bCs/>
          <w:color w:val="auto"/>
          <w:sz w:val="24"/>
          <w:highlight w:val="none"/>
        </w:rPr>
        <w:t>采购内容</w:t>
      </w:r>
      <w:r>
        <w:rPr>
          <w:rFonts w:hint="eastAsia" w:ascii="仿宋" w:hAnsi="仿宋" w:eastAsia="仿宋"/>
          <w:b/>
          <w:bCs/>
          <w:color w:val="auto"/>
          <w:sz w:val="24"/>
          <w:highlight w:val="none"/>
          <w:lang w:eastAsia="zh-CN"/>
        </w:rPr>
        <w:t>及服务期限</w:t>
      </w:r>
      <w:r>
        <w:rPr>
          <w:rFonts w:hint="eastAsia" w:ascii="仿宋" w:hAnsi="仿宋" w:eastAsia="仿宋"/>
          <w:b/>
          <w:bCs/>
          <w:color w:val="auto"/>
          <w:sz w:val="24"/>
          <w:highlight w:val="none"/>
        </w:rPr>
        <w:t>：</w:t>
      </w:r>
    </w:p>
    <w:tbl>
      <w:tblPr>
        <w:tblStyle w:val="11"/>
        <w:tblW w:w="9510"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361"/>
        <w:gridCol w:w="1485"/>
        <w:gridCol w:w="4890"/>
      </w:tblGrid>
      <w:tr w14:paraId="6514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noWrap w:val="0"/>
            <w:vAlign w:val="center"/>
          </w:tcPr>
          <w:p w14:paraId="27FC4ECF">
            <w:pPr>
              <w:pStyle w:val="5"/>
              <w:adjustRightInd w:val="0"/>
              <w:snapToGrid w:val="0"/>
              <w:spacing w:line="400" w:lineRule="exact"/>
              <w:jc w:val="center"/>
              <w:rPr>
                <w:rFonts w:hint="eastAsia" w:ascii="新宋体" w:hAnsi="新宋体" w:eastAsia="新宋体"/>
                <w:color w:val="auto"/>
                <w:highlight w:val="none"/>
              </w:rPr>
            </w:pPr>
            <w:r>
              <w:rPr>
                <w:rFonts w:hint="eastAsia" w:ascii="新宋体" w:hAnsi="新宋体" w:eastAsia="新宋体"/>
                <w:color w:val="auto"/>
                <w:highlight w:val="none"/>
              </w:rPr>
              <w:t>标项</w:t>
            </w:r>
          </w:p>
        </w:tc>
        <w:tc>
          <w:tcPr>
            <w:tcW w:w="2361" w:type="dxa"/>
            <w:noWrap w:val="0"/>
            <w:vAlign w:val="center"/>
          </w:tcPr>
          <w:p w14:paraId="6FD80AD1">
            <w:pPr>
              <w:pStyle w:val="5"/>
              <w:adjustRightInd w:val="0"/>
              <w:snapToGrid w:val="0"/>
              <w:spacing w:line="400" w:lineRule="exact"/>
              <w:jc w:val="center"/>
              <w:rPr>
                <w:rFonts w:hint="eastAsia" w:ascii="新宋体" w:hAnsi="新宋体" w:eastAsia="新宋体"/>
                <w:color w:val="auto"/>
                <w:highlight w:val="none"/>
              </w:rPr>
            </w:pPr>
            <w:r>
              <w:rPr>
                <w:rFonts w:hint="eastAsia" w:ascii="新宋体" w:hAnsi="新宋体" w:eastAsia="新宋体"/>
                <w:color w:val="auto"/>
                <w:highlight w:val="none"/>
              </w:rPr>
              <w:t>标项内容</w:t>
            </w:r>
          </w:p>
        </w:tc>
        <w:tc>
          <w:tcPr>
            <w:tcW w:w="1485" w:type="dxa"/>
            <w:noWrap w:val="0"/>
            <w:vAlign w:val="center"/>
          </w:tcPr>
          <w:p w14:paraId="3C77BB2C">
            <w:pPr>
              <w:pStyle w:val="5"/>
              <w:adjustRightInd w:val="0"/>
              <w:snapToGrid w:val="0"/>
              <w:spacing w:line="400" w:lineRule="exact"/>
              <w:jc w:val="center"/>
              <w:rPr>
                <w:rFonts w:hint="eastAsia" w:ascii="新宋体" w:hAnsi="新宋体" w:eastAsia="新宋体"/>
                <w:color w:val="auto"/>
                <w:highlight w:val="none"/>
                <w:lang w:eastAsia="zh-CN"/>
              </w:rPr>
            </w:pPr>
            <w:r>
              <w:rPr>
                <w:rFonts w:hint="eastAsia" w:ascii="新宋体" w:hAnsi="新宋体" w:eastAsia="新宋体"/>
                <w:color w:val="auto"/>
                <w:highlight w:val="none"/>
                <w:lang w:eastAsia="zh-CN"/>
              </w:rPr>
              <w:t>服务期限</w:t>
            </w:r>
          </w:p>
        </w:tc>
        <w:tc>
          <w:tcPr>
            <w:tcW w:w="4890" w:type="dxa"/>
            <w:noWrap w:val="0"/>
            <w:vAlign w:val="center"/>
          </w:tcPr>
          <w:p w14:paraId="3B078D26">
            <w:pPr>
              <w:pStyle w:val="5"/>
              <w:adjustRightInd w:val="0"/>
              <w:snapToGrid w:val="0"/>
              <w:spacing w:line="400" w:lineRule="exact"/>
              <w:jc w:val="center"/>
              <w:rPr>
                <w:rFonts w:hint="eastAsia" w:ascii="新宋体" w:hAnsi="新宋体" w:eastAsia="新宋体"/>
                <w:color w:val="auto"/>
                <w:highlight w:val="none"/>
              </w:rPr>
            </w:pPr>
            <w:r>
              <w:rPr>
                <w:rFonts w:hint="eastAsia" w:ascii="新宋体" w:hAnsi="新宋体" w:eastAsia="新宋体"/>
                <w:color w:val="auto"/>
                <w:highlight w:val="none"/>
              </w:rPr>
              <w:t>备注</w:t>
            </w:r>
          </w:p>
        </w:tc>
      </w:tr>
      <w:tr w14:paraId="27B1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4" w:type="dxa"/>
            <w:noWrap w:val="0"/>
            <w:vAlign w:val="center"/>
          </w:tcPr>
          <w:p w14:paraId="02D3A1BA">
            <w:pPr>
              <w:pStyle w:val="5"/>
              <w:adjustRightInd w:val="0"/>
              <w:snapToGrid w:val="0"/>
              <w:spacing w:line="320" w:lineRule="exact"/>
              <w:jc w:val="center"/>
              <w:rPr>
                <w:rFonts w:hint="eastAsia" w:ascii="新宋体" w:hAnsi="新宋体" w:eastAsia="新宋体"/>
                <w:color w:val="auto"/>
                <w:sz w:val="24"/>
                <w:szCs w:val="24"/>
                <w:highlight w:val="none"/>
              </w:rPr>
            </w:pPr>
            <w:r>
              <w:rPr>
                <w:rFonts w:hint="eastAsia" w:ascii="华文仿宋" w:hAnsi="华文仿宋" w:eastAsia="华文仿宋" w:cs="华文仿宋"/>
                <w:color w:val="auto"/>
                <w:sz w:val="24"/>
                <w:szCs w:val="24"/>
                <w:highlight w:val="none"/>
                <w:lang w:val="en-US" w:eastAsia="zh-CN"/>
              </w:rPr>
              <w:t>一</w:t>
            </w:r>
          </w:p>
        </w:tc>
        <w:tc>
          <w:tcPr>
            <w:tcW w:w="2361" w:type="dxa"/>
            <w:noWrap w:val="0"/>
            <w:vAlign w:val="center"/>
          </w:tcPr>
          <w:p w14:paraId="29781736">
            <w:pPr>
              <w:pStyle w:val="5"/>
              <w:adjustRightInd w:val="0"/>
              <w:snapToGrid w:val="0"/>
              <w:spacing w:line="400" w:lineRule="exact"/>
              <w:jc w:val="center"/>
              <w:rPr>
                <w:rFonts w:hint="eastAsia" w:ascii="新宋体" w:hAnsi="新宋体" w:eastAsia="新宋体"/>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工程类</w:t>
            </w:r>
          </w:p>
        </w:tc>
        <w:tc>
          <w:tcPr>
            <w:tcW w:w="1485" w:type="dxa"/>
            <w:noWrap w:val="0"/>
            <w:vAlign w:val="center"/>
          </w:tcPr>
          <w:p w14:paraId="7CC2A5EC">
            <w:pPr>
              <w:pStyle w:val="5"/>
              <w:adjustRightInd w:val="0"/>
              <w:snapToGrid w:val="0"/>
              <w:spacing w:line="320" w:lineRule="exact"/>
              <w:jc w:val="center"/>
              <w:rPr>
                <w:rFonts w:hint="default" w:ascii="新宋体" w:hAnsi="新宋体" w:eastAsia="新宋体"/>
                <w:color w:val="auto"/>
                <w:sz w:val="24"/>
                <w:szCs w:val="24"/>
                <w:highlight w:val="none"/>
                <w:lang w:val="en-US" w:eastAsia="zh-CN"/>
              </w:rPr>
            </w:pPr>
            <w:r>
              <w:rPr>
                <w:rFonts w:hint="eastAsia" w:ascii="新宋体" w:hAnsi="新宋体" w:eastAsia="新宋体"/>
                <w:color w:val="auto"/>
                <w:sz w:val="24"/>
                <w:szCs w:val="24"/>
                <w:highlight w:val="none"/>
                <w:lang w:val="en-US" w:eastAsia="zh-CN"/>
              </w:rPr>
              <w:t>两年</w:t>
            </w:r>
          </w:p>
        </w:tc>
        <w:tc>
          <w:tcPr>
            <w:tcW w:w="4890" w:type="dxa"/>
            <w:noWrap w:val="0"/>
            <w:vAlign w:val="center"/>
          </w:tcPr>
          <w:p w14:paraId="781059AE">
            <w:pPr>
              <w:pStyle w:val="5"/>
              <w:adjustRightInd w:val="0"/>
              <w:snapToGrid w:val="0"/>
              <w:spacing w:line="320" w:lineRule="exact"/>
              <w:jc w:val="center"/>
              <w:rPr>
                <w:rFonts w:hint="eastAsia" w:ascii="华文仿宋" w:hAnsi="华文仿宋" w:eastAsia="华文仿宋" w:cs="华文仿宋"/>
                <w:color w:val="auto"/>
                <w:highlight w:val="none"/>
                <w:lang w:eastAsia="zh-CN"/>
              </w:rPr>
            </w:pPr>
            <w:r>
              <w:rPr>
                <w:rFonts w:hint="eastAsia" w:ascii="华文仿宋" w:hAnsi="华文仿宋" w:eastAsia="华文仿宋" w:cs="华文仿宋"/>
                <w:color w:val="auto"/>
                <w:highlight w:val="none"/>
              </w:rPr>
              <w:t>具体要求见第</w:t>
            </w:r>
            <w:r>
              <w:rPr>
                <w:rFonts w:hint="eastAsia" w:ascii="华文仿宋" w:hAnsi="华文仿宋" w:eastAsia="华文仿宋" w:cs="华文仿宋"/>
                <w:color w:val="auto"/>
                <w:highlight w:val="none"/>
                <w:lang w:val="en-US" w:eastAsia="zh-CN"/>
              </w:rPr>
              <w:t>四</w:t>
            </w:r>
            <w:r>
              <w:rPr>
                <w:rFonts w:hint="eastAsia" w:ascii="华文仿宋" w:hAnsi="华文仿宋" w:eastAsia="华文仿宋" w:cs="华文仿宋"/>
                <w:color w:val="auto"/>
                <w:highlight w:val="none"/>
              </w:rPr>
              <w:t>章《招标项目要求》</w:t>
            </w:r>
            <w:r>
              <w:rPr>
                <w:rFonts w:hint="eastAsia" w:ascii="华文仿宋" w:hAnsi="华文仿宋" w:eastAsia="华文仿宋" w:cs="华文仿宋"/>
                <w:color w:val="auto"/>
                <w:highlight w:val="none"/>
                <w:lang w:eastAsia="zh-CN"/>
              </w:rPr>
              <w:t>。</w:t>
            </w:r>
          </w:p>
          <w:p w14:paraId="4D3FB17D">
            <w:pPr>
              <w:pStyle w:val="5"/>
              <w:adjustRightInd w:val="0"/>
              <w:snapToGrid w:val="0"/>
              <w:spacing w:line="320" w:lineRule="exact"/>
              <w:jc w:val="center"/>
              <w:rPr>
                <w:rFonts w:hint="eastAsia" w:ascii="新宋体" w:hAnsi="新宋体" w:eastAsia="新宋体"/>
                <w:color w:val="auto"/>
                <w:highlight w:val="none"/>
              </w:rPr>
            </w:pPr>
            <w:r>
              <w:rPr>
                <w:rFonts w:hint="eastAsia" w:ascii="仿宋" w:hAnsi="仿宋" w:eastAsia="仿宋" w:cs="仿宋"/>
                <w:color w:val="auto"/>
                <w:highlight w:val="none"/>
                <w:lang w:val="en-US" w:eastAsia="zh-CN"/>
              </w:rPr>
              <w:t>服务包含</w:t>
            </w:r>
            <w:r>
              <w:rPr>
                <w:rFonts w:hint="eastAsia" w:ascii="仿宋" w:hAnsi="仿宋" w:eastAsia="仿宋" w:cs="仿宋"/>
                <w:color w:val="auto"/>
                <w:highlight w:val="none"/>
              </w:rPr>
              <w:t>义乌市中心医院工程类招标代理及造价咨询服务</w:t>
            </w:r>
            <w:r>
              <w:rPr>
                <w:rFonts w:hint="eastAsia" w:ascii="仿宋" w:hAnsi="仿宋" w:eastAsia="仿宋" w:cs="仿宋"/>
                <w:color w:val="auto"/>
                <w:highlight w:val="none"/>
                <w:lang w:eastAsia="zh-CN"/>
              </w:rPr>
              <w:t>。</w:t>
            </w:r>
          </w:p>
        </w:tc>
      </w:tr>
    </w:tbl>
    <w:p w14:paraId="01E73DA0">
      <w:pPr>
        <w:pStyle w:val="14"/>
        <w:numPr>
          <w:ilvl w:val="0"/>
          <w:numId w:val="0"/>
        </w:numPr>
        <w:ind w:leftChars="0"/>
        <w:rPr>
          <w:color w:val="auto"/>
          <w:highlight w:val="none"/>
        </w:rPr>
      </w:pPr>
    </w:p>
    <w:p w14:paraId="4BC48589">
      <w:pPr>
        <w:numPr>
          <w:ilvl w:val="0"/>
          <w:numId w:val="0"/>
        </w:numPr>
        <w:spacing w:line="360" w:lineRule="auto"/>
        <w:ind w:leftChars="0"/>
        <w:rPr>
          <w:rFonts w:ascii="仿宋" w:hAnsi="仿宋" w:eastAsia="仿宋"/>
          <w:b/>
          <w:bCs/>
          <w:color w:val="auto"/>
          <w:sz w:val="24"/>
          <w:highlight w:val="none"/>
        </w:rPr>
      </w:pPr>
      <w:r>
        <w:rPr>
          <w:rFonts w:hint="eastAsia" w:ascii="仿宋" w:hAnsi="仿宋" w:eastAsia="仿宋"/>
          <w:b/>
          <w:bCs/>
          <w:color w:val="auto"/>
          <w:sz w:val="24"/>
          <w:highlight w:val="none"/>
          <w:lang w:eastAsia="zh-CN"/>
        </w:rPr>
        <w:t>五、</w:t>
      </w:r>
      <w:r>
        <w:rPr>
          <w:rFonts w:hint="eastAsia" w:ascii="仿宋" w:hAnsi="仿宋" w:eastAsia="仿宋"/>
          <w:b/>
          <w:bCs/>
          <w:color w:val="auto"/>
          <w:sz w:val="24"/>
          <w:highlight w:val="none"/>
        </w:rPr>
        <w:t>投标单位的资格要求：</w:t>
      </w:r>
    </w:p>
    <w:p w14:paraId="438BD1E3">
      <w:pPr>
        <w:spacing w:line="360" w:lineRule="auto"/>
        <w:rPr>
          <w:rFonts w:hint="eastAsia" w:ascii="仿宋" w:hAnsi="仿宋" w:eastAsia="仿宋"/>
          <w:b/>
          <w:bCs/>
          <w:color w:val="auto"/>
          <w:sz w:val="24"/>
          <w:highlight w:val="none"/>
          <w:lang w:eastAsia="zh-CN"/>
        </w:rPr>
      </w:pPr>
      <w:r>
        <w:rPr>
          <w:rFonts w:ascii="仿宋" w:hAnsi="仿宋" w:eastAsia="仿宋"/>
          <w:color w:val="auto"/>
          <w:sz w:val="24"/>
          <w:highlight w:val="none"/>
        </w:rPr>
        <w:t>（1）</w:t>
      </w:r>
      <w:r>
        <w:rPr>
          <w:rFonts w:hint="eastAsia" w:ascii="仿宋" w:hAnsi="仿宋" w:eastAsia="仿宋"/>
          <w:color w:val="auto"/>
          <w:sz w:val="24"/>
          <w:highlight w:val="none"/>
        </w:rPr>
        <w:t>符合《中华人民共和国政府采购法》第二十二条对供应商的要求，</w:t>
      </w:r>
      <w:r>
        <w:rPr>
          <w:rFonts w:ascii="仿宋" w:hAnsi="仿宋" w:eastAsia="仿宋"/>
          <w:color w:val="auto"/>
          <w:sz w:val="24"/>
          <w:highlight w:val="none"/>
        </w:rPr>
        <w:t>具有</w:t>
      </w:r>
      <w:r>
        <w:rPr>
          <w:rFonts w:hint="eastAsia" w:ascii="仿宋" w:hAnsi="仿宋" w:eastAsia="仿宋"/>
          <w:color w:val="auto"/>
          <w:sz w:val="24"/>
          <w:highlight w:val="none"/>
        </w:rPr>
        <w:t>本项目</w:t>
      </w:r>
      <w:r>
        <w:rPr>
          <w:rFonts w:ascii="仿宋" w:hAnsi="仿宋" w:eastAsia="仿宋"/>
          <w:color w:val="auto"/>
          <w:sz w:val="24"/>
          <w:highlight w:val="none"/>
        </w:rPr>
        <w:t>的</w:t>
      </w:r>
      <w:r>
        <w:rPr>
          <w:rFonts w:hint="eastAsia" w:ascii="仿宋" w:hAnsi="仿宋" w:eastAsia="仿宋"/>
          <w:color w:val="auto"/>
          <w:sz w:val="24"/>
          <w:highlight w:val="none"/>
        </w:rPr>
        <w:t>服务</w:t>
      </w:r>
      <w:r>
        <w:rPr>
          <w:rFonts w:ascii="仿宋" w:hAnsi="仿宋" w:eastAsia="仿宋"/>
          <w:color w:val="auto"/>
          <w:sz w:val="24"/>
          <w:highlight w:val="none"/>
        </w:rPr>
        <w:t>能力</w:t>
      </w:r>
      <w:r>
        <w:rPr>
          <w:rFonts w:hint="eastAsia" w:ascii="仿宋" w:hAnsi="仿宋" w:eastAsia="仿宋"/>
          <w:color w:val="auto"/>
          <w:sz w:val="24"/>
          <w:highlight w:val="none"/>
        </w:rPr>
        <w:t>；</w:t>
      </w:r>
      <w:r>
        <w:rPr>
          <w:rFonts w:hint="eastAsia" w:ascii="仿宋" w:hAnsi="仿宋" w:eastAsia="仿宋"/>
          <w:b/>
          <w:bCs/>
          <w:color w:val="auto"/>
          <w:sz w:val="24"/>
          <w:highlight w:val="none"/>
          <w:lang w:val="en-US" w:eastAsia="zh-CN"/>
        </w:rPr>
        <w:t>投标人需在义乌市建设工程招投标中心公布的2024年第四季度的招标代理机构考核等级不少于B级且在最近一次公布的义乌市工程造价咨询企业质量考核等级不少于B级</w:t>
      </w:r>
      <w:r>
        <w:rPr>
          <w:rFonts w:hint="eastAsia" w:ascii="仿宋" w:hAnsi="仿宋" w:eastAsia="仿宋"/>
          <w:b/>
          <w:bCs/>
          <w:color w:val="auto"/>
          <w:sz w:val="24"/>
          <w:highlight w:val="none"/>
          <w:lang w:eastAsia="zh-CN"/>
        </w:rPr>
        <w:t>。</w:t>
      </w:r>
    </w:p>
    <w:p w14:paraId="5EE9BDF5">
      <w:pPr>
        <w:snapToGrid w:val="0"/>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（2）</w:t>
      </w:r>
      <w:r>
        <w:rPr>
          <w:rFonts w:ascii="仿宋" w:hAnsi="仿宋" w:eastAsia="仿宋"/>
          <w:color w:val="auto"/>
          <w:sz w:val="24"/>
          <w:highlight w:val="none"/>
        </w:rPr>
        <w:t>具有</w:t>
      </w:r>
      <w:r>
        <w:rPr>
          <w:rFonts w:hint="eastAsia" w:ascii="仿宋" w:hAnsi="仿宋" w:eastAsia="仿宋"/>
          <w:color w:val="auto"/>
          <w:sz w:val="24"/>
          <w:highlight w:val="none"/>
        </w:rPr>
        <w:t>本项目</w:t>
      </w:r>
      <w:r>
        <w:rPr>
          <w:rFonts w:ascii="仿宋" w:hAnsi="仿宋" w:eastAsia="仿宋"/>
          <w:color w:val="auto"/>
          <w:sz w:val="24"/>
          <w:highlight w:val="none"/>
        </w:rPr>
        <w:t>的</w:t>
      </w:r>
      <w:r>
        <w:rPr>
          <w:rFonts w:hint="eastAsia" w:ascii="仿宋" w:hAnsi="仿宋" w:eastAsia="仿宋"/>
          <w:color w:val="auto"/>
          <w:sz w:val="24"/>
          <w:highlight w:val="none"/>
        </w:rPr>
        <w:t>服务</w:t>
      </w:r>
      <w:r>
        <w:rPr>
          <w:rFonts w:ascii="仿宋" w:hAnsi="仿宋" w:eastAsia="仿宋"/>
          <w:color w:val="auto"/>
          <w:sz w:val="24"/>
          <w:highlight w:val="none"/>
        </w:rPr>
        <w:t>能力</w:t>
      </w:r>
      <w:r>
        <w:rPr>
          <w:rFonts w:hint="eastAsia" w:ascii="仿宋" w:hAnsi="仿宋" w:eastAsia="仿宋"/>
          <w:color w:val="auto"/>
          <w:sz w:val="24"/>
          <w:highlight w:val="none"/>
          <w:lang w:eastAsia="zh-CN"/>
        </w:rPr>
        <w:t>。</w:t>
      </w:r>
    </w:p>
    <w:p w14:paraId="3D9BEFAA">
      <w:pPr>
        <w:snapToGrid w:val="0"/>
        <w:spacing w:line="360" w:lineRule="auto"/>
        <w:rPr>
          <w:rFonts w:hint="eastAsia" w:ascii="仿宋_GB2312" w:hAnsi="宋体" w:eastAsia="仿宋" w:cs="Vrinda"/>
          <w:color w:val="auto"/>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工程类</w:t>
      </w:r>
      <w:r>
        <w:rPr>
          <w:rFonts w:hint="eastAsia" w:ascii="仿宋" w:hAnsi="仿宋" w:eastAsia="仿宋" w:cs="Times New Roman"/>
          <w:color w:val="auto"/>
          <w:kern w:val="2"/>
          <w:sz w:val="24"/>
          <w:szCs w:val="20"/>
          <w:highlight w:val="none"/>
          <w:lang w:val="en-US" w:eastAsia="zh-CN" w:bidi="ar-SA"/>
        </w:rPr>
        <w:t>项目负责人资格：拟派项目负责人具有国家一级注册造价工程师证书。</w:t>
      </w:r>
    </w:p>
    <w:p w14:paraId="3EF2EC6D">
      <w:pPr>
        <w:widowControl/>
        <w:spacing w:before="54" w:after="54" w:line="360" w:lineRule="auto"/>
        <w:ind w:right="54"/>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）具有从事招标采购代理活动所需的场所证明和相关设备、设施及相应的资金能力；</w:t>
      </w:r>
    </w:p>
    <w:p w14:paraId="7129B2D7">
      <w:pPr>
        <w:widowControl/>
        <w:spacing w:before="54" w:after="54" w:line="360" w:lineRule="auto"/>
        <w:ind w:right="54"/>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68851187">
      <w:pPr>
        <w:widowControl/>
        <w:spacing w:line="420" w:lineRule="atLeas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）本项目不接受联合体投标；</w:t>
      </w:r>
    </w:p>
    <w:p w14:paraId="312D02E3">
      <w:pPr>
        <w:widowControl/>
        <w:spacing w:line="420" w:lineRule="atLeas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）该行业国家规定必备的资质、资格。</w:t>
      </w:r>
    </w:p>
    <w:p w14:paraId="6E55C89B">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六、报名</w:t>
      </w:r>
    </w:p>
    <w:p w14:paraId="2D93E373">
      <w:pPr>
        <w:widowControl w:val="0"/>
        <w:spacing w:line="360" w:lineRule="auto"/>
        <w:jc w:val="both"/>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（1）报名时间：</w:t>
      </w:r>
      <w:r>
        <w:rPr>
          <w:rFonts w:hint="eastAsia" w:ascii="仿宋" w:hAnsi="仿宋" w:eastAsia="仿宋" w:cs="仿宋"/>
          <w:b w:val="0"/>
          <w:bCs w:val="0"/>
          <w:color w:val="auto"/>
          <w:kern w:val="2"/>
          <w:sz w:val="24"/>
          <w:szCs w:val="20"/>
          <w:highlight w:val="none"/>
          <w:lang w:val="en-US" w:eastAsia="zh-CN" w:bidi="ar-SA"/>
        </w:rPr>
        <w:t>2025年3月25</w:t>
      </w:r>
      <w:r>
        <w:rPr>
          <w:rFonts w:hint="eastAsia" w:ascii="仿宋" w:hAnsi="仿宋" w:eastAsia="仿宋" w:cs="仿宋"/>
          <w:b w:val="0"/>
          <w:bCs w:val="0"/>
          <w:color w:val="auto"/>
          <w:kern w:val="2"/>
          <w:sz w:val="24"/>
          <w:szCs w:val="20"/>
          <w:highlight w:val="none"/>
          <w:lang w:val="en-US" w:eastAsia="zh-CN" w:bidi="ar-SA"/>
        </w:rPr>
        <w:t>日至3月31日</w:t>
      </w:r>
      <w:r>
        <w:rPr>
          <w:rFonts w:hint="eastAsia" w:ascii="仿宋" w:hAnsi="仿宋" w:eastAsia="仿宋" w:cs="仿宋"/>
          <w:b w:val="0"/>
          <w:bCs w:val="0"/>
          <w:color w:val="auto"/>
          <w:kern w:val="2"/>
          <w:sz w:val="24"/>
          <w:szCs w:val="20"/>
          <w:highlight w:val="none"/>
          <w:lang w:val="en-US" w:eastAsia="zh-CN" w:bidi="ar-SA"/>
        </w:rPr>
        <w:t>。</w:t>
      </w:r>
    </w:p>
    <w:p w14:paraId="6A6C5F0A">
      <w:pPr>
        <w:widowControl w:val="0"/>
        <w:spacing w:line="360" w:lineRule="auto"/>
        <w:jc w:val="both"/>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（2）报名方式及招标文件获取</w:t>
      </w:r>
      <w:r>
        <w:rPr>
          <w:rFonts w:hint="eastAsia" w:ascii="仿宋" w:hAnsi="仿宋" w:eastAsia="仿宋" w:cs="仿宋"/>
          <w:b w:val="0"/>
          <w:bCs w:val="0"/>
          <w:color w:val="auto"/>
          <w:kern w:val="2"/>
          <w:sz w:val="24"/>
          <w:szCs w:val="20"/>
          <w:highlight w:val="none"/>
          <w:lang w:val="en-US" w:eastAsia="zh-CN" w:bidi="ar-SA"/>
        </w:rPr>
        <w:t>：潜在供应商可通过扫描下方二维码进行报名。</w:t>
      </w:r>
      <w:r>
        <w:rPr>
          <w:rFonts w:hint="eastAsia" w:ascii="仿宋" w:hAnsi="仿宋" w:eastAsia="仿宋" w:cs="Times New Roman"/>
          <w:color w:val="auto"/>
          <w:kern w:val="2"/>
          <w:sz w:val="24"/>
          <w:szCs w:val="20"/>
          <w:highlight w:val="none"/>
          <w:lang w:val="en-US" w:eastAsia="zh-CN" w:bidi="ar-SA"/>
        </w:rPr>
        <w:t>招标文件在义乌市中心医院官网（https://www.ywzxyy.com/）下载获取。</w:t>
      </w:r>
    </w:p>
    <w:p w14:paraId="1224B6DF">
      <w:pPr>
        <w:pStyle w:val="5"/>
        <w:spacing w:line="360" w:lineRule="auto"/>
        <w:jc w:val="center"/>
        <w:rPr>
          <w:rFonts w:hint="default" w:ascii="仿宋" w:hAnsi="仿宋" w:eastAsia="仿宋" w:cs="Times New Roman"/>
          <w:color w:val="auto"/>
          <w:kern w:val="2"/>
          <w:sz w:val="24"/>
          <w:szCs w:val="20"/>
          <w:highlight w:val="none"/>
          <w:lang w:val="en-US" w:eastAsia="zh-CN" w:bidi="ar-SA"/>
        </w:rPr>
      </w:pPr>
      <w:r>
        <w:rPr>
          <w:rFonts w:hint="eastAsia"/>
          <w:color w:val="auto"/>
          <w:highlight w:val="none"/>
          <w:lang w:val="en-US" w:eastAsia="zh-CN"/>
        </w:rPr>
        <w:drawing>
          <wp:inline distT="0" distB="0" distL="114300" distR="114300">
            <wp:extent cx="1104900" cy="1104900"/>
            <wp:effectExtent l="0" t="0" r="0" b="0"/>
            <wp:docPr id="2" name="图片 2" descr="招标代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代理"/>
                    <pic:cNvPicPr>
                      <a:picLocks noChangeAspect="1"/>
                    </pic:cNvPicPr>
                  </pic:nvPicPr>
                  <pic:blipFill>
                    <a:blip r:embed="rId6"/>
                    <a:stretch>
                      <a:fillRect/>
                    </a:stretch>
                  </pic:blipFill>
                  <pic:spPr>
                    <a:xfrm>
                      <a:off x="0" y="0"/>
                      <a:ext cx="1104900" cy="1104900"/>
                    </a:xfrm>
                    <a:prstGeom prst="rect">
                      <a:avLst/>
                    </a:prstGeom>
                  </pic:spPr>
                </pic:pic>
              </a:graphicData>
            </a:graphic>
          </wp:inline>
        </w:drawing>
      </w:r>
    </w:p>
    <w:p w14:paraId="000205CB">
      <w:pPr>
        <w:pStyle w:val="5"/>
        <w:spacing w:line="360" w:lineRule="auto"/>
        <w:rPr>
          <w:rFonts w:hint="eastAsia" w:ascii="仿宋" w:hAnsi="仿宋" w:eastAsia="仿宋" w:cs="Times New Roman"/>
          <w:b/>
          <w:bCs/>
          <w:color w:val="auto"/>
          <w:kern w:val="2"/>
          <w:sz w:val="24"/>
          <w:szCs w:val="20"/>
          <w:highlight w:val="none"/>
          <w:lang w:val="en-US" w:eastAsia="zh-CN" w:bidi="ar-SA"/>
        </w:rPr>
      </w:pPr>
      <w:r>
        <w:rPr>
          <w:rFonts w:hint="eastAsia" w:ascii="仿宋" w:hAnsi="仿宋" w:eastAsia="仿宋" w:cs="Times New Roman"/>
          <w:b/>
          <w:bCs/>
          <w:color w:val="auto"/>
          <w:kern w:val="2"/>
          <w:sz w:val="24"/>
          <w:szCs w:val="20"/>
          <w:highlight w:val="none"/>
          <w:lang w:val="en-US" w:eastAsia="zh-CN" w:bidi="ar-SA"/>
        </w:rPr>
        <w:t>七、报名时所需资料</w:t>
      </w:r>
    </w:p>
    <w:p w14:paraId="47367300">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（1）单位营业执照副本；</w:t>
      </w:r>
    </w:p>
    <w:p w14:paraId="189A26C1">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（2）法定代表人授权书；（注明法定代表人或授权联系电话、钉钉号）</w:t>
      </w:r>
    </w:p>
    <w:p w14:paraId="0119280D">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（3）被授权人身份证；</w:t>
      </w:r>
    </w:p>
    <w:p w14:paraId="64E4E10A">
      <w:pP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浙江省政府采购网代理机构备案登记</w:t>
      </w:r>
      <w:r>
        <w:rPr>
          <w:rFonts w:hint="eastAsia" w:ascii="仿宋" w:hAnsi="仿宋" w:eastAsia="仿宋"/>
          <w:color w:val="auto"/>
          <w:sz w:val="24"/>
          <w:highlight w:val="none"/>
          <w:lang w:eastAsia="zh-CN"/>
        </w:rPr>
        <w:t>证；</w:t>
      </w:r>
    </w:p>
    <w:p w14:paraId="6320FEF5">
      <w:pPr>
        <w:pStyle w:val="5"/>
        <w:spacing w:line="360" w:lineRule="auto"/>
        <w:rPr>
          <w:rFonts w:hint="default"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（5）工程类需提供项目负责人的一级造价工程师注册证书复印件、身份证及2024年11月-2025年1月其中任一个月社会保险缴纳凭证</w:t>
      </w:r>
    </w:p>
    <w:p w14:paraId="396715FD">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（6）投标人简介等资料；</w:t>
      </w:r>
    </w:p>
    <w:p w14:paraId="10C416AA">
      <w:pPr>
        <w:pStyle w:val="5"/>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b/>
          <w:bCs/>
          <w:color w:val="auto"/>
          <w:kern w:val="2"/>
          <w:sz w:val="24"/>
          <w:szCs w:val="20"/>
          <w:highlight w:val="none"/>
          <w:lang w:val="en-US" w:eastAsia="zh-CN" w:bidi="ar-SA"/>
        </w:rPr>
        <w:t xml:space="preserve">八、开标时间：2025年4月1日9:00。   </w:t>
      </w:r>
      <w:r>
        <w:rPr>
          <w:rFonts w:hint="eastAsia" w:ascii="仿宋" w:hAnsi="仿宋" w:eastAsia="仿宋" w:cs="Times New Roman"/>
          <w:color w:val="auto"/>
          <w:kern w:val="2"/>
          <w:sz w:val="24"/>
          <w:szCs w:val="20"/>
          <w:highlight w:val="none"/>
          <w:lang w:val="en-US" w:eastAsia="zh-CN" w:bidi="ar-SA"/>
        </w:rPr>
        <w:t xml:space="preserve">  </w:t>
      </w:r>
    </w:p>
    <w:p w14:paraId="5A8BBE20">
      <w:pPr>
        <w:spacing w:line="440" w:lineRule="exact"/>
        <w:rPr>
          <w:rFonts w:hint="eastAsia" w:ascii="仿宋" w:hAnsi="仿宋" w:eastAsia="仿宋" w:cs="Times New Roman"/>
          <w:b w:val="0"/>
          <w:bCs w:val="0"/>
          <w:color w:val="auto"/>
          <w:kern w:val="2"/>
          <w:sz w:val="24"/>
          <w:szCs w:val="20"/>
          <w:highlight w:val="none"/>
          <w:lang w:val="en-US" w:eastAsia="zh-CN" w:bidi="ar-SA"/>
        </w:rPr>
      </w:pPr>
      <w:r>
        <w:rPr>
          <w:rFonts w:hint="eastAsia" w:ascii="仿宋" w:hAnsi="仿宋" w:eastAsia="仿宋" w:cs="Times New Roman"/>
          <w:b w:val="0"/>
          <w:bCs w:val="0"/>
          <w:color w:val="auto"/>
          <w:kern w:val="2"/>
          <w:sz w:val="24"/>
          <w:szCs w:val="20"/>
          <w:highlight w:val="none"/>
          <w:lang w:val="en-US" w:eastAsia="zh-CN" w:bidi="ar-SA"/>
        </w:rPr>
        <w:t>九、递交投标截止时间及开标时间：</w:t>
      </w:r>
    </w:p>
    <w:p w14:paraId="0383DC5A">
      <w:pPr>
        <w:spacing w:line="440" w:lineRule="exact"/>
        <w:ind w:firstLine="361" w:firstLineChars="150"/>
        <w:rPr>
          <w:rFonts w:hint="eastAsia" w:ascii="仿宋" w:hAnsi="仿宋" w:eastAsia="仿宋" w:cs="Times New Roman"/>
          <w:b w:val="0"/>
          <w:bCs w:val="0"/>
          <w:color w:val="auto"/>
          <w:kern w:val="2"/>
          <w:sz w:val="24"/>
          <w:szCs w:val="20"/>
          <w:highlight w:val="none"/>
          <w:lang w:val="en-US" w:eastAsia="zh-CN" w:bidi="ar-SA"/>
        </w:rPr>
      </w:pPr>
      <w:r>
        <w:rPr>
          <w:rFonts w:hint="eastAsia" w:ascii="仿宋" w:hAnsi="仿宋" w:eastAsia="仿宋" w:cs="Times New Roman"/>
          <w:b/>
          <w:bCs/>
          <w:color w:val="auto"/>
          <w:kern w:val="2"/>
          <w:sz w:val="24"/>
          <w:szCs w:val="20"/>
          <w:highlight w:val="none"/>
          <w:lang w:val="en-US" w:eastAsia="zh-CN" w:bidi="ar-SA"/>
        </w:rPr>
        <w:t>本项目采用不见面招标。</w:t>
      </w:r>
      <w:r>
        <w:rPr>
          <w:rFonts w:hint="eastAsia" w:ascii="仿宋" w:hAnsi="仿宋" w:eastAsia="仿宋" w:cs="Times New Roman"/>
          <w:b w:val="0"/>
          <w:bCs w:val="0"/>
          <w:color w:val="auto"/>
          <w:kern w:val="2"/>
          <w:sz w:val="24"/>
          <w:szCs w:val="20"/>
          <w:highlight w:val="none"/>
          <w:lang w:val="en-US" w:eastAsia="zh-CN" w:bidi="ar-SA"/>
        </w:rPr>
        <w:t>投标单位应于 2025年3月31日下午17:00前将投标文件密封送至义乌市中心医院（义乌市江东中路699号）行政楼一楼109室采购招标中心，逾期送达或未密封将予以拒收。</w:t>
      </w:r>
    </w:p>
    <w:p w14:paraId="48C41400">
      <w:pPr>
        <w:spacing w:line="440" w:lineRule="exact"/>
        <w:ind w:firstLine="360" w:firstLineChars="150"/>
        <w:rPr>
          <w:rFonts w:hint="eastAsia" w:ascii="仿宋" w:hAnsi="仿宋" w:eastAsia="仿宋" w:cs="Times New Roman"/>
          <w:b w:val="0"/>
          <w:bCs w:val="0"/>
          <w:color w:val="auto"/>
          <w:kern w:val="2"/>
          <w:sz w:val="24"/>
          <w:szCs w:val="20"/>
          <w:highlight w:val="none"/>
          <w:lang w:val="en-US" w:eastAsia="zh-CN" w:bidi="ar-SA"/>
        </w:rPr>
      </w:pPr>
      <w:r>
        <w:rPr>
          <w:rFonts w:hint="eastAsia" w:ascii="仿宋" w:hAnsi="仿宋" w:eastAsia="仿宋" w:cs="Times New Roman"/>
          <w:b w:val="0"/>
          <w:bCs w:val="0"/>
          <w:color w:val="auto"/>
          <w:kern w:val="2"/>
          <w:sz w:val="24"/>
          <w:szCs w:val="20"/>
          <w:highlight w:val="none"/>
          <w:lang w:val="en-US" w:eastAsia="zh-CN" w:bidi="ar-SA"/>
        </w:rPr>
        <w:t>开标时间与地点：2025年4月1日9:00地点：义乌市中心医院行政楼一楼109室</w:t>
      </w:r>
    </w:p>
    <w:p w14:paraId="538C69BE">
      <w:pPr>
        <w:spacing w:line="440" w:lineRule="exact"/>
        <w:rPr>
          <w:rFonts w:hint="eastAsia" w:ascii="仿宋" w:hAnsi="仿宋" w:eastAsia="仿宋" w:cs="Times New Roman"/>
          <w:b w:val="0"/>
          <w:bCs w:val="0"/>
          <w:color w:val="auto"/>
          <w:kern w:val="2"/>
          <w:sz w:val="24"/>
          <w:szCs w:val="20"/>
          <w:highlight w:val="none"/>
          <w:lang w:val="en-US" w:eastAsia="zh-CN" w:bidi="ar-SA"/>
        </w:rPr>
      </w:pPr>
      <w:r>
        <w:rPr>
          <w:rFonts w:hint="eastAsia" w:ascii="仿宋" w:hAnsi="仿宋" w:eastAsia="仿宋" w:cs="Times New Roman"/>
          <w:b w:val="0"/>
          <w:bCs w:val="0"/>
          <w:color w:val="auto"/>
          <w:kern w:val="2"/>
          <w:sz w:val="24"/>
          <w:szCs w:val="20"/>
          <w:highlight w:val="none"/>
          <w:lang w:val="en-US" w:eastAsia="zh-CN" w:bidi="ar-SA"/>
        </w:rPr>
        <w:t>十、联系地址和电话：</w:t>
      </w:r>
    </w:p>
    <w:p w14:paraId="567983E0">
      <w:pPr>
        <w:spacing w:line="440" w:lineRule="exact"/>
        <w:rPr>
          <w:rFonts w:hint="default" w:ascii="仿宋" w:hAnsi="仿宋" w:eastAsia="仿宋" w:cs="Times New Roman"/>
          <w:b w:val="0"/>
          <w:bCs w:val="0"/>
          <w:color w:val="auto"/>
          <w:kern w:val="2"/>
          <w:sz w:val="24"/>
          <w:szCs w:val="20"/>
          <w:highlight w:val="none"/>
          <w:lang w:val="en-US" w:eastAsia="zh-CN" w:bidi="ar-SA"/>
        </w:rPr>
      </w:pPr>
      <w:r>
        <w:rPr>
          <w:rFonts w:hint="eastAsia" w:ascii="仿宋" w:hAnsi="仿宋" w:eastAsia="仿宋" w:cs="Times New Roman"/>
          <w:b w:val="0"/>
          <w:bCs w:val="0"/>
          <w:color w:val="auto"/>
          <w:kern w:val="2"/>
          <w:sz w:val="24"/>
          <w:szCs w:val="20"/>
          <w:highlight w:val="none"/>
          <w:lang w:val="en-US" w:eastAsia="zh-CN" w:bidi="ar-SA"/>
        </w:rPr>
        <w:t xml:space="preserve">   联系人及电话： 金老师            0579-85208030</w:t>
      </w:r>
    </w:p>
    <w:p w14:paraId="45942D52">
      <w:pPr>
        <w:spacing w:line="440" w:lineRule="exact"/>
        <w:ind w:firstLine="360" w:firstLineChars="15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b w:val="0"/>
          <w:bCs w:val="0"/>
          <w:color w:val="auto"/>
          <w:kern w:val="2"/>
          <w:sz w:val="24"/>
          <w:szCs w:val="20"/>
          <w:highlight w:val="none"/>
          <w:lang w:val="en-US" w:eastAsia="zh-CN" w:bidi="ar-SA"/>
        </w:rPr>
        <w:t>详细地址：</w:t>
      </w:r>
      <w:r>
        <w:rPr>
          <w:rFonts w:hint="eastAsia" w:ascii="仿宋" w:hAnsi="仿宋" w:eastAsia="仿宋" w:cs="Times New Roman"/>
          <w:color w:val="auto"/>
          <w:kern w:val="2"/>
          <w:sz w:val="24"/>
          <w:szCs w:val="20"/>
          <w:highlight w:val="none"/>
          <w:lang w:val="en-US" w:eastAsia="zh-CN" w:bidi="ar-SA"/>
        </w:rPr>
        <w:t>义乌市中心医院行政楼一楼</w:t>
      </w:r>
      <w:r>
        <w:rPr>
          <w:rFonts w:hint="eastAsia" w:ascii="仿宋" w:hAnsi="仿宋" w:eastAsia="仿宋" w:cs="Times New Roman"/>
          <w:b w:val="0"/>
          <w:bCs w:val="0"/>
          <w:color w:val="auto"/>
          <w:kern w:val="2"/>
          <w:sz w:val="24"/>
          <w:szCs w:val="20"/>
          <w:highlight w:val="none"/>
          <w:lang w:val="en-US" w:eastAsia="zh-CN" w:bidi="ar-SA"/>
        </w:rPr>
        <w:t>109室</w:t>
      </w:r>
      <w:r>
        <w:rPr>
          <w:rFonts w:hint="eastAsia" w:ascii="仿宋" w:hAnsi="仿宋" w:eastAsia="仿宋" w:cs="Times New Roman"/>
          <w:color w:val="auto"/>
          <w:kern w:val="2"/>
          <w:sz w:val="24"/>
          <w:szCs w:val="20"/>
          <w:highlight w:val="none"/>
          <w:lang w:val="en-US" w:eastAsia="zh-CN" w:bidi="ar-SA"/>
        </w:rPr>
        <w:t>采购招标中心（义乌市江东路699号）</w:t>
      </w:r>
    </w:p>
    <w:p w14:paraId="2E324DBC">
      <w:pPr>
        <w:widowControl/>
        <w:spacing w:line="420" w:lineRule="atLeast"/>
        <w:rPr>
          <w:rFonts w:hint="eastAsia" w:ascii="仿宋" w:hAnsi="仿宋" w:eastAsia="仿宋" w:cs="Times New Roman"/>
          <w:color w:val="auto"/>
          <w:kern w:val="2"/>
          <w:sz w:val="24"/>
          <w:szCs w:val="20"/>
          <w:highlight w:val="none"/>
          <w:lang w:val="en-US" w:eastAsia="zh-CN" w:bidi="ar-SA"/>
        </w:rPr>
      </w:pPr>
    </w:p>
    <w:p w14:paraId="70BC3E2E">
      <w:pPr>
        <w:widowControl/>
        <w:spacing w:line="420" w:lineRule="atLeast"/>
        <w:ind w:firstLine="480"/>
        <w:rPr>
          <w:rFonts w:ascii="仿宋" w:hAnsi="仿宋" w:eastAsia="仿宋" w:cs="宋体"/>
          <w:color w:val="auto"/>
          <w:kern w:val="0"/>
          <w:sz w:val="24"/>
          <w:szCs w:val="24"/>
          <w:highlight w:val="none"/>
        </w:rPr>
      </w:pPr>
    </w:p>
    <w:p w14:paraId="44706438">
      <w:pPr>
        <w:widowControl/>
        <w:spacing w:line="420" w:lineRule="atLeast"/>
        <w:ind w:firstLine="480"/>
        <w:rPr>
          <w:rFonts w:ascii="仿宋" w:hAnsi="仿宋" w:eastAsia="仿宋" w:cs="宋体"/>
          <w:color w:val="auto"/>
          <w:kern w:val="0"/>
          <w:sz w:val="24"/>
          <w:szCs w:val="24"/>
          <w:highlight w:val="none"/>
        </w:rPr>
      </w:pPr>
    </w:p>
    <w:p w14:paraId="3383A291">
      <w:pPr>
        <w:spacing w:line="360" w:lineRule="auto"/>
        <w:ind w:firstLine="200"/>
        <w:jc w:val="center"/>
        <w:rPr>
          <w:rFonts w:hint="eastAsia" w:ascii="仿宋_GB2312" w:hAnsi="仿宋" w:eastAsia="仿宋_GB2312"/>
          <w:color w:val="auto"/>
          <w:highlight w:val="none"/>
        </w:rPr>
      </w:pPr>
    </w:p>
    <w:p w14:paraId="0F826FFE">
      <w:pPr>
        <w:spacing w:line="360" w:lineRule="auto"/>
        <w:jc w:val="both"/>
        <w:rPr>
          <w:rFonts w:ascii="仿宋" w:hAnsi="仿宋" w:eastAsia="仿宋"/>
          <w:b/>
          <w:bCs/>
          <w:color w:val="auto"/>
          <w:sz w:val="32"/>
          <w:szCs w:val="32"/>
          <w:highlight w:val="none"/>
          <w:lang w:val="zh-CN"/>
        </w:rPr>
      </w:pPr>
      <w:r>
        <w:rPr>
          <w:rFonts w:hint="eastAsia" w:ascii="仿宋_GB2312" w:hAnsi="仿宋" w:eastAsia="仿宋_GB2312"/>
          <w:color w:val="auto"/>
          <w:highlight w:val="none"/>
        </w:rPr>
        <w:t xml:space="preserve">                            </w:t>
      </w:r>
      <w:r>
        <w:rPr>
          <w:rFonts w:hint="eastAsia" w:ascii="仿宋" w:hAnsi="仿宋" w:eastAsia="仿宋"/>
          <w:b/>
          <w:bCs/>
          <w:color w:val="auto"/>
          <w:sz w:val="32"/>
          <w:szCs w:val="32"/>
          <w:highlight w:val="none"/>
          <w:lang w:val="zh-CN"/>
        </w:rPr>
        <w:t>第二章 投标须知</w:t>
      </w:r>
    </w:p>
    <w:p w14:paraId="0AAF636B">
      <w:pPr>
        <w:widowControl/>
        <w:spacing w:line="420" w:lineRule="atLeast"/>
        <w:ind w:firstLine="48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一、投标人须知前附表</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300"/>
      </w:tblGrid>
      <w:tr w14:paraId="458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vAlign w:val="center"/>
          </w:tcPr>
          <w:p w14:paraId="58B26C29">
            <w:pPr>
              <w:pStyle w:val="6"/>
              <w:spacing w:line="360" w:lineRule="auto"/>
              <w:ind w:firstLine="0"/>
              <w:jc w:val="center"/>
              <w:rPr>
                <w:rFonts w:ascii="仿宋" w:hAnsi="仿宋" w:eastAsia="仿宋"/>
                <w:color w:val="auto"/>
                <w:sz w:val="24"/>
                <w:szCs w:val="24"/>
                <w:highlight w:val="none"/>
              </w:rPr>
            </w:pPr>
            <w:r>
              <w:rPr>
                <w:rFonts w:ascii="仿宋" w:hAnsi="仿宋" w:eastAsia="仿宋" w:cs="Arial"/>
                <w:color w:val="auto"/>
                <w:sz w:val="24"/>
                <w:szCs w:val="24"/>
                <w:highlight w:val="none"/>
              </w:rPr>
              <w:t>序号</w:t>
            </w:r>
          </w:p>
        </w:tc>
        <w:tc>
          <w:tcPr>
            <w:tcW w:w="2160" w:type="dxa"/>
            <w:vAlign w:val="center"/>
          </w:tcPr>
          <w:p w14:paraId="79DB6AD0">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目</w:t>
            </w:r>
          </w:p>
        </w:tc>
        <w:tc>
          <w:tcPr>
            <w:tcW w:w="6300" w:type="dxa"/>
            <w:vAlign w:val="center"/>
          </w:tcPr>
          <w:p w14:paraId="164233CD">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内</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容</w:t>
            </w:r>
          </w:p>
        </w:tc>
      </w:tr>
      <w:tr w14:paraId="5644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vAlign w:val="center"/>
          </w:tcPr>
          <w:p w14:paraId="7328F375">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2160" w:type="dxa"/>
            <w:vAlign w:val="center"/>
          </w:tcPr>
          <w:p w14:paraId="49AED4E9">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6300" w:type="dxa"/>
            <w:vAlign w:val="center"/>
          </w:tcPr>
          <w:p w14:paraId="3A960D87">
            <w:pPr>
              <w:spacing w:line="360" w:lineRule="auto"/>
              <w:rPr>
                <w:rFonts w:hint="eastAsia" w:ascii="仿宋" w:hAnsi="仿宋" w:eastAsia="仿宋" w:cs="Arial"/>
                <w:color w:val="auto"/>
                <w:sz w:val="24"/>
                <w:highlight w:val="none"/>
                <w:lang w:val="zh-CN" w:eastAsia="zh-CN"/>
              </w:rPr>
            </w:pPr>
            <w:r>
              <w:rPr>
                <w:rFonts w:hint="eastAsia" w:ascii="仿宋" w:hAnsi="仿宋" w:eastAsia="仿宋"/>
                <w:color w:val="auto"/>
                <w:sz w:val="24"/>
                <w:szCs w:val="24"/>
                <w:highlight w:val="none"/>
                <w:lang w:eastAsia="zh-CN"/>
              </w:rPr>
              <w:t>义乌市中心医院工程类项目招标代理服务</w:t>
            </w:r>
          </w:p>
        </w:tc>
      </w:tr>
      <w:tr w14:paraId="7274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14:paraId="2A8D1C85">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2160" w:type="dxa"/>
            <w:vAlign w:val="center"/>
          </w:tcPr>
          <w:p w14:paraId="2E902C23">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招标内容</w:t>
            </w:r>
          </w:p>
        </w:tc>
        <w:tc>
          <w:tcPr>
            <w:tcW w:w="6300" w:type="dxa"/>
            <w:vAlign w:val="center"/>
          </w:tcPr>
          <w:p w14:paraId="5849FC8C">
            <w:pPr>
              <w:pStyle w:val="6"/>
              <w:spacing w:line="360" w:lineRule="auto"/>
              <w:ind w:firstLine="0"/>
              <w:jc w:val="both"/>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详见本招标文件第四章 招标货物内容</w:t>
            </w:r>
          </w:p>
        </w:tc>
      </w:tr>
      <w:tr w14:paraId="2B1F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14:paraId="22F7678D">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2160" w:type="dxa"/>
            <w:vAlign w:val="center"/>
          </w:tcPr>
          <w:p w14:paraId="557D3D11">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投标人资格要求</w:t>
            </w:r>
          </w:p>
        </w:tc>
        <w:tc>
          <w:tcPr>
            <w:tcW w:w="6300" w:type="dxa"/>
            <w:vAlign w:val="center"/>
          </w:tcPr>
          <w:p w14:paraId="0666C491">
            <w:pPr>
              <w:pStyle w:val="6"/>
              <w:spacing w:line="360" w:lineRule="auto"/>
              <w:ind w:firstLine="0"/>
              <w:jc w:val="both"/>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见招标公告中的“五、投标单位的资格要求”</w:t>
            </w:r>
          </w:p>
        </w:tc>
      </w:tr>
      <w:tr w14:paraId="2D40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vAlign w:val="center"/>
          </w:tcPr>
          <w:p w14:paraId="71EA41B6">
            <w:pPr>
              <w:pStyle w:val="6"/>
              <w:spacing w:line="360" w:lineRule="auto"/>
              <w:ind w:firstLine="0"/>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4</w:t>
            </w:r>
          </w:p>
        </w:tc>
        <w:tc>
          <w:tcPr>
            <w:tcW w:w="2160" w:type="dxa"/>
            <w:vAlign w:val="center"/>
          </w:tcPr>
          <w:p w14:paraId="6AF0987D">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kern w:val="2"/>
                <w:sz w:val="24"/>
                <w:szCs w:val="24"/>
                <w:highlight w:val="none"/>
              </w:rPr>
              <w:t>完成方式和交货期</w:t>
            </w:r>
          </w:p>
        </w:tc>
        <w:tc>
          <w:tcPr>
            <w:tcW w:w="6300" w:type="dxa"/>
            <w:vAlign w:val="center"/>
          </w:tcPr>
          <w:p w14:paraId="4582CFD8">
            <w:pPr>
              <w:pStyle w:val="6"/>
              <w:spacing w:line="360" w:lineRule="auto"/>
              <w:ind w:firstLine="0"/>
              <w:jc w:val="both"/>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按项目计，每个项目从编制招标文件开始直至采购合同备案完毕为止。</w:t>
            </w:r>
          </w:p>
        </w:tc>
      </w:tr>
      <w:tr w14:paraId="009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vAlign w:val="center"/>
          </w:tcPr>
          <w:p w14:paraId="63FE6B2B">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2160" w:type="dxa"/>
            <w:vAlign w:val="center"/>
          </w:tcPr>
          <w:p w14:paraId="43A2B1A3">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结算方式</w:t>
            </w:r>
          </w:p>
        </w:tc>
        <w:tc>
          <w:tcPr>
            <w:tcW w:w="6300" w:type="dxa"/>
            <w:vAlign w:val="center"/>
          </w:tcPr>
          <w:p w14:paraId="340FB752">
            <w:pPr>
              <w:pStyle w:val="5"/>
              <w:spacing w:line="360" w:lineRule="auto"/>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招标代理服务费按计价格[2002]1980号文件及发改办价格[2003]857号文件的收费标准*</w:t>
            </w:r>
            <w:r>
              <w:rPr>
                <w:rFonts w:hint="eastAsia" w:ascii="仿宋" w:hAnsi="仿宋" w:eastAsia="仿宋" w:cs="宋体"/>
                <w:bCs/>
                <w:color w:val="auto"/>
                <w:sz w:val="24"/>
                <w:szCs w:val="24"/>
                <w:highlight w:val="none"/>
                <w:lang w:eastAsia="zh-CN"/>
              </w:rPr>
              <w:t>结算率</w:t>
            </w:r>
            <w:r>
              <w:rPr>
                <w:rFonts w:hint="eastAsia" w:ascii="仿宋" w:hAnsi="仿宋" w:eastAsia="仿宋" w:cs="宋体"/>
                <w:bCs/>
                <w:color w:val="auto"/>
                <w:sz w:val="24"/>
                <w:szCs w:val="24"/>
                <w:highlight w:val="none"/>
              </w:rPr>
              <w:t>。</w:t>
            </w:r>
          </w:p>
          <w:p w14:paraId="33D7217C">
            <w:pPr>
              <w:pStyle w:val="5"/>
              <w:spacing w:line="240" w:lineRule="auto"/>
              <w:rPr>
                <w:color w:val="auto"/>
                <w:highlight w:val="none"/>
              </w:rPr>
            </w:pPr>
            <w:r>
              <w:rPr>
                <w:rFonts w:hint="eastAsia" w:ascii="仿宋" w:hAnsi="仿宋" w:eastAsia="仿宋" w:cs="宋体"/>
                <w:bCs/>
                <w:color w:val="auto"/>
                <w:sz w:val="24"/>
                <w:szCs w:val="24"/>
                <w:highlight w:val="none"/>
              </w:rPr>
              <w:t>工程造价咨询服务费</w:t>
            </w:r>
            <w:r>
              <w:rPr>
                <w:rFonts w:hint="eastAsia" w:ascii="仿宋" w:hAnsi="仿宋" w:eastAsia="仿宋" w:cs="宋体"/>
                <w:bCs/>
                <w:color w:val="auto"/>
                <w:sz w:val="24"/>
                <w:szCs w:val="24"/>
                <w:highlight w:val="none"/>
                <w:lang w:val="en-US" w:eastAsia="zh-CN"/>
              </w:rPr>
              <w:t>按</w:t>
            </w:r>
            <w:r>
              <w:rPr>
                <w:rFonts w:hint="eastAsia" w:ascii="仿宋" w:hAnsi="仿宋" w:eastAsia="仿宋" w:cs="宋体"/>
                <w:bCs/>
                <w:color w:val="auto"/>
                <w:sz w:val="24"/>
                <w:szCs w:val="24"/>
                <w:highlight w:val="none"/>
              </w:rPr>
              <w:t>浙价服〔2009〕84号文件</w:t>
            </w:r>
            <w:r>
              <w:rPr>
                <w:rFonts w:hint="eastAsia" w:ascii="仿宋" w:hAnsi="仿宋" w:eastAsia="仿宋" w:cs="宋体"/>
                <w:bCs/>
                <w:color w:val="auto"/>
                <w:sz w:val="24"/>
                <w:szCs w:val="24"/>
                <w:highlight w:val="none"/>
                <w:lang w:val="en-US" w:eastAsia="zh-CN"/>
              </w:rPr>
              <w:t>的收费标准</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eastAsia="zh-CN"/>
              </w:rPr>
              <w:t>结算率</w:t>
            </w:r>
            <w:r>
              <w:rPr>
                <w:rFonts w:hint="eastAsia" w:ascii="仿宋" w:hAnsi="仿宋" w:eastAsia="仿宋" w:cs="宋体"/>
                <w:bCs/>
                <w:color w:val="auto"/>
                <w:sz w:val="24"/>
                <w:szCs w:val="24"/>
                <w:highlight w:val="none"/>
                <w:lang w:val="en-US" w:eastAsia="zh-CN"/>
              </w:rPr>
              <w:t>计算。</w:t>
            </w:r>
          </w:p>
          <w:p w14:paraId="023E2678">
            <w:pPr>
              <w:pStyle w:val="5"/>
              <w:spacing w:line="360" w:lineRule="auto"/>
              <w:rPr>
                <w:rFonts w:ascii="仿宋" w:hAnsi="仿宋" w:eastAsia="仿宋"/>
                <w:color w:val="auto"/>
                <w:sz w:val="24"/>
                <w:szCs w:val="24"/>
                <w:highlight w:val="none"/>
                <w:u w:val="single"/>
              </w:rPr>
            </w:pPr>
            <w:r>
              <w:rPr>
                <w:rFonts w:hint="eastAsia" w:ascii="仿宋" w:hAnsi="仿宋" w:eastAsia="仿宋" w:cs="宋体"/>
                <w:bCs/>
                <w:color w:val="auto"/>
                <w:sz w:val="24"/>
                <w:szCs w:val="24"/>
                <w:highlight w:val="none"/>
              </w:rPr>
              <w:t>特殊项目由招标人和中标人协商制定招标代理服务费</w:t>
            </w:r>
          </w:p>
        </w:tc>
      </w:tr>
      <w:tr w14:paraId="2FDD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vAlign w:val="center"/>
          </w:tcPr>
          <w:p w14:paraId="012667DD">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2160" w:type="dxa"/>
            <w:vAlign w:val="center"/>
          </w:tcPr>
          <w:p w14:paraId="44FCCC04">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服务期限</w:t>
            </w:r>
          </w:p>
        </w:tc>
        <w:tc>
          <w:tcPr>
            <w:tcW w:w="6300" w:type="dxa"/>
            <w:vAlign w:val="center"/>
          </w:tcPr>
          <w:p w14:paraId="0807D1C9">
            <w:pPr>
              <w:pStyle w:val="5"/>
              <w:spacing w:line="360" w:lineRule="auto"/>
              <w:rPr>
                <w:rFonts w:hint="default" w:ascii="仿宋" w:hAnsi="仿宋" w:eastAsia="仿宋" w:cs="宋体"/>
                <w:bCs/>
                <w:color w:val="auto"/>
                <w:sz w:val="24"/>
                <w:szCs w:val="24"/>
                <w:highlight w:val="none"/>
                <w:lang w:val="en-US" w:eastAsia="zh-CN"/>
              </w:rPr>
            </w:pPr>
            <w:r>
              <w:rPr>
                <w:rFonts w:hint="eastAsia" w:ascii="仿宋" w:hAnsi="仿宋" w:eastAsia="仿宋" w:cs="宋体"/>
                <w:bCs/>
                <w:color w:val="auto"/>
                <w:sz w:val="24"/>
                <w:szCs w:val="24"/>
                <w:highlight w:val="none"/>
                <w:lang w:eastAsia="zh-CN"/>
              </w:rPr>
              <w:t>两</w:t>
            </w:r>
            <w:r>
              <w:rPr>
                <w:rFonts w:hint="eastAsia" w:ascii="仿宋" w:hAnsi="仿宋" w:eastAsia="仿宋" w:cs="宋体"/>
                <w:bCs/>
                <w:color w:val="auto"/>
                <w:sz w:val="24"/>
                <w:szCs w:val="24"/>
                <w:highlight w:val="none"/>
              </w:rPr>
              <w:t>年</w:t>
            </w:r>
            <w:r>
              <w:rPr>
                <w:rFonts w:hint="eastAsia" w:ascii="仿宋" w:hAnsi="仿宋" w:eastAsia="仿宋" w:cs="宋体"/>
                <w:bCs/>
                <w:color w:val="auto"/>
                <w:sz w:val="24"/>
                <w:szCs w:val="24"/>
                <w:highlight w:val="none"/>
                <w:lang w:eastAsia="zh-CN"/>
              </w:rPr>
              <w:t>。服务期限满一年度，由甲方进行考核，考核</w:t>
            </w:r>
            <w:r>
              <w:rPr>
                <w:rFonts w:hint="eastAsia" w:ascii="仿宋" w:hAnsi="仿宋" w:eastAsia="仿宋" w:cs="宋体"/>
                <w:bCs/>
                <w:color w:val="auto"/>
                <w:sz w:val="24"/>
                <w:szCs w:val="24"/>
                <w:highlight w:val="none"/>
                <w:lang w:val="en-US" w:eastAsia="zh-CN"/>
              </w:rPr>
              <w:t>85分及以上为合格，若不合格甲方有权中断合同。</w:t>
            </w:r>
          </w:p>
        </w:tc>
      </w:tr>
      <w:tr w14:paraId="7066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14:paraId="13AA1D37">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2160" w:type="dxa"/>
            <w:vAlign w:val="center"/>
          </w:tcPr>
          <w:p w14:paraId="513CB00B">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投标有效期</w:t>
            </w:r>
          </w:p>
        </w:tc>
        <w:tc>
          <w:tcPr>
            <w:tcW w:w="6300" w:type="dxa"/>
            <w:vAlign w:val="center"/>
          </w:tcPr>
          <w:p w14:paraId="481F6499">
            <w:pPr>
              <w:adjustRightInd w:val="0"/>
              <w:snapToGrid w:val="0"/>
              <w:spacing w:before="96" w:after="96" w:line="360" w:lineRule="auto"/>
              <w:textAlignment w:val="bottom"/>
              <w:rPr>
                <w:rFonts w:ascii="仿宋" w:hAnsi="仿宋" w:eastAsia="仿宋"/>
                <w:color w:val="auto"/>
                <w:sz w:val="24"/>
                <w:highlight w:val="none"/>
              </w:rPr>
            </w:pPr>
            <w:r>
              <w:rPr>
                <w:rFonts w:ascii="仿宋" w:hAnsi="仿宋" w:eastAsia="仿宋"/>
                <w:color w:val="auto"/>
                <w:sz w:val="24"/>
                <w:highlight w:val="none"/>
              </w:rPr>
              <w:t>自投标截止时间起为90日历天</w:t>
            </w:r>
          </w:p>
        </w:tc>
      </w:tr>
      <w:tr w14:paraId="1E01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0" w:type="dxa"/>
            <w:vAlign w:val="center"/>
          </w:tcPr>
          <w:p w14:paraId="3B8EE0B8">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2160" w:type="dxa"/>
            <w:vAlign w:val="center"/>
          </w:tcPr>
          <w:p w14:paraId="13D7EA21">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投标文件份数</w:t>
            </w:r>
          </w:p>
        </w:tc>
        <w:tc>
          <w:tcPr>
            <w:tcW w:w="6300" w:type="dxa"/>
            <w:vAlign w:val="center"/>
          </w:tcPr>
          <w:p w14:paraId="36CD82EE">
            <w:pPr>
              <w:adjustRightInd w:val="0"/>
              <w:snapToGrid w:val="0"/>
              <w:spacing w:before="96" w:after="96" w:line="360" w:lineRule="auto"/>
              <w:textAlignment w:val="bottom"/>
              <w:rPr>
                <w:rFonts w:ascii="仿宋" w:hAnsi="仿宋" w:eastAsia="仿宋"/>
                <w:color w:val="auto"/>
                <w:sz w:val="24"/>
                <w:highlight w:val="none"/>
              </w:rPr>
            </w:pPr>
            <w:r>
              <w:rPr>
                <w:rFonts w:hint="eastAsia" w:ascii="仿宋" w:hAnsi="仿宋" w:eastAsia="仿宋"/>
                <w:color w:val="auto"/>
                <w:sz w:val="24"/>
                <w:highlight w:val="none"/>
              </w:rPr>
              <w:t>投</w:t>
            </w:r>
            <w:r>
              <w:rPr>
                <w:rFonts w:ascii="仿宋" w:hAnsi="仿宋" w:eastAsia="仿宋"/>
                <w:color w:val="auto"/>
                <w:sz w:val="24"/>
                <w:highlight w:val="none"/>
              </w:rPr>
              <w:t>标文件的份数：正本1份</w:t>
            </w:r>
            <w:r>
              <w:rPr>
                <w:rFonts w:hint="eastAsia" w:ascii="仿宋" w:hAnsi="仿宋" w:eastAsia="仿宋"/>
                <w:color w:val="auto"/>
                <w:sz w:val="24"/>
                <w:highlight w:val="none"/>
              </w:rPr>
              <w:t>、</w:t>
            </w:r>
            <w:r>
              <w:rPr>
                <w:rFonts w:ascii="仿宋" w:hAnsi="仿宋" w:eastAsia="仿宋"/>
                <w:color w:val="auto"/>
                <w:sz w:val="24"/>
                <w:highlight w:val="none"/>
              </w:rPr>
              <w:t>副本</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份</w:t>
            </w:r>
            <w:r>
              <w:rPr>
                <w:rFonts w:hint="eastAsia" w:ascii="仿宋" w:hAnsi="仿宋" w:eastAsia="仿宋"/>
                <w:color w:val="auto"/>
                <w:sz w:val="24"/>
                <w:highlight w:val="none"/>
              </w:rPr>
              <w:t>。</w:t>
            </w:r>
          </w:p>
        </w:tc>
      </w:tr>
      <w:tr w14:paraId="1EB1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20" w:type="dxa"/>
            <w:vAlign w:val="center"/>
          </w:tcPr>
          <w:p w14:paraId="4A9978C5">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2160" w:type="dxa"/>
            <w:vAlign w:val="center"/>
          </w:tcPr>
          <w:p w14:paraId="4765FE91">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招标答疑</w:t>
            </w:r>
          </w:p>
        </w:tc>
        <w:tc>
          <w:tcPr>
            <w:tcW w:w="6300" w:type="dxa"/>
            <w:vAlign w:val="center"/>
          </w:tcPr>
          <w:p w14:paraId="3399730B">
            <w:pPr>
              <w:spacing w:line="360" w:lineRule="auto"/>
              <w:rPr>
                <w:rFonts w:ascii="仿宋" w:hAnsi="仿宋" w:eastAsia="仿宋"/>
                <w:color w:val="auto"/>
                <w:sz w:val="24"/>
                <w:highlight w:val="none"/>
              </w:rPr>
            </w:pPr>
            <w:r>
              <w:rPr>
                <w:rFonts w:ascii="仿宋" w:hAnsi="仿宋" w:eastAsia="仿宋"/>
                <w:color w:val="auto"/>
                <w:sz w:val="24"/>
                <w:highlight w:val="none"/>
              </w:rPr>
              <w:t>各投标人对招标文件如有疑问，请于</w:t>
            </w:r>
            <w:r>
              <w:rPr>
                <w:rFonts w:hint="eastAsia" w:ascii="仿宋" w:hAnsi="仿宋" w:eastAsia="仿宋"/>
                <w:color w:val="auto"/>
                <w:sz w:val="24"/>
                <w:highlight w:val="none"/>
                <w:lang w:eastAsia="zh-CN"/>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月日</w:t>
            </w:r>
            <w:r>
              <w:rPr>
                <w:rFonts w:hint="eastAsia" w:ascii="仿宋" w:hAnsi="仿宋" w:eastAsia="仿宋"/>
                <w:color w:val="auto"/>
                <w:sz w:val="24"/>
                <w:highlight w:val="none"/>
              </w:rPr>
              <w:t>之前</w:t>
            </w:r>
            <w:r>
              <w:rPr>
                <w:rFonts w:ascii="仿宋" w:hAnsi="仿宋" w:eastAsia="仿宋"/>
                <w:color w:val="auto"/>
                <w:sz w:val="24"/>
                <w:highlight w:val="none"/>
              </w:rPr>
              <w:t>以书面形式提出，招标人将</w:t>
            </w:r>
            <w:r>
              <w:rPr>
                <w:rFonts w:hint="eastAsia" w:ascii="仿宋" w:hAnsi="仿宋" w:eastAsia="仿宋"/>
                <w:color w:val="auto"/>
                <w:sz w:val="24"/>
                <w:highlight w:val="none"/>
              </w:rPr>
              <w:t>视情况给予回复</w:t>
            </w:r>
            <w:r>
              <w:rPr>
                <w:rFonts w:ascii="仿宋" w:hAnsi="仿宋" w:eastAsia="仿宋"/>
                <w:color w:val="auto"/>
                <w:sz w:val="24"/>
                <w:highlight w:val="none"/>
              </w:rPr>
              <w:t>。</w:t>
            </w:r>
          </w:p>
        </w:tc>
      </w:tr>
      <w:tr w14:paraId="5509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20" w:type="dxa"/>
            <w:vAlign w:val="center"/>
          </w:tcPr>
          <w:p w14:paraId="74D2475E">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2160" w:type="dxa"/>
            <w:vAlign w:val="center"/>
          </w:tcPr>
          <w:p w14:paraId="7FB0A3C3">
            <w:pPr>
              <w:pStyle w:val="6"/>
              <w:spacing w:line="360" w:lineRule="auto"/>
              <w:ind w:firstLine="0"/>
              <w:rPr>
                <w:rFonts w:ascii="仿宋" w:hAnsi="仿宋" w:eastAsia="仿宋"/>
                <w:color w:val="auto"/>
                <w:sz w:val="24"/>
                <w:szCs w:val="24"/>
                <w:highlight w:val="none"/>
              </w:rPr>
            </w:pPr>
            <w:r>
              <w:rPr>
                <w:rFonts w:ascii="仿宋" w:hAnsi="仿宋" w:eastAsia="仿宋"/>
                <w:color w:val="auto"/>
                <w:sz w:val="24"/>
                <w:szCs w:val="24"/>
                <w:highlight w:val="none"/>
              </w:rPr>
              <w:t>踏勘现场</w:t>
            </w:r>
          </w:p>
        </w:tc>
        <w:tc>
          <w:tcPr>
            <w:tcW w:w="6300" w:type="dxa"/>
            <w:vAlign w:val="center"/>
          </w:tcPr>
          <w:p w14:paraId="0FFF432C">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招标人不组织踏勘现场，投标人如有需要，</w:t>
            </w:r>
            <w:r>
              <w:rPr>
                <w:rFonts w:ascii="仿宋" w:hAnsi="仿宋" w:eastAsia="仿宋" w:cs="Arial"/>
                <w:color w:val="auto"/>
                <w:sz w:val="24"/>
                <w:highlight w:val="none"/>
              </w:rPr>
              <w:t>自行</w:t>
            </w:r>
            <w:r>
              <w:rPr>
                <w:rFonts w:hint="eastAsia" w:ascii="仿宋" w:hAnsi="仿宋" w:eastAsia="仿宋" w:cs="Arial"/>
                <w:color w:val="auto"/>
                <w:sz w:val="24"/>
                <w:highlight w:val="none"/>
              </w:rPr>
              <w:t>安排</w:t>
            </w:r>
            <w:r>
              <w:rPr>
                <w:rFonts w:ascii="仿宋" w:hAnsi="仿宋" w:eastAsia="仿宋" w:cs="Arial"/>
                <w:color w:val="auto"/>
                <w:sz w:val="24"/>
                <w:highlight w:val="none"/>
              </w:rPr>
              <w:t>踏勘</w:t>
            </w:r>
            <w:r>
              <w:rPr>
                <w:rFonts w:hint="eastAsia" w:ascii="仿宋" w:hAnsi="仿宋" w:eastAsia="仿宋" w:cs="Arial"/>
                <w:color w:val="auto"/>
                <w:sz w:val="24"/>
                <w:highlight w:val="none"/>
              </w:rPr>
              <w:t>现场，并自行承担所需的费用和风险。</w:t>
            </w:r>
          </w:p>
          <w:p w14:paraId="6165CD34">
            <w:pPr>
              <w:spacing w:line="360" w:lineRule="auto"/>
              <w:rPr>
                <w:rFonts w:hint="eastAsia" w:ascii="仿宋" w:hAnsi="仿宋" w:eastAsia="仿宋" w:cs="Arial"/>
                <w:color w:val="auto"/>
                <w:sz w:val="24"/>
                <w:highlight w:val="none"/>
                <w:u w:val="single"/>
                <w:lang w:eastAsia="zh-CN"/>
              </w:rPr>
            </w:pPr>
            <w:r>
              <w:rPr>
                <w:rFonts w:ascii="仿宋" w:hAnsi="仿宋" w:eastAsia="仿宋" w:cs="Arial"/>
                <w:color w:val="auto"/>
                <w:sz w:val="24"/>
                <w:highlight w:val="none"/>
              </w:rPr>
              <w:t>地点：</w:t>
            </w:r>
            <w:r>
              <w:rPr>
                <w:rFonts w:hint="eastAsia" w:ascii="仿宋" w:hAnsi="仿宋" w:eastAsia="仿宋" w:cs="Arial"/>
                <w:color w:val="auto"/>
                <w:sz w:val="24"/>
                <w:highlight w:val="none"/>
                <w:lang w:eastAsia="zh-CN"/>
              </w:rPr>
              <w:t>义乌市中心医院</w:t>
            </w:r>
          </w:p>
        </w:tc>
      </w:tr>
      <w:tr w14:paraId="5E82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2C2ED91A">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2160" w:type="dxa"/>
            <w:vAlign w:val="center"/>
          </w:tcPr>
          <w:p w14:paraId="6741B71D">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投标截止时间</w:t>
            </w:r>
          </w:p>
          <w:p w14:paraId="2F6445A7">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投标地点</w:t>
            </w:r>
          </w:p>
        </w:tc>
        <w:tc>
          <w:tcPr>
            <w:tcW w:w="6300" w:type="dxa"/>
            <w:vAlign w:val="center"/>
          </w:tcPr>
          <w:p w14:paraId="1586CB05">
            <w:pPr>
              <w:widowControl/>
              <w:spacing w:before="54" w:after="54" w:line="360" w:lineRule="auto"/>
              <w:ind w:left="54" w:right="54"/>
              <w:outlineLvl w:val="0"/>
              <w:rPr>
                <w:rFonts w:ascii="仿宋" w:hAnsi="仿宋" w:eastAsia="仿宋" w:cs="宋体"/>
                <w:color w:val="auto"/>
                <w:kern w:val="0"/>
                <w:sz w:val="24"/>
                <w:highlight w:val="none"/>
              </w:rPr>
            </w:pPr>
            <w:r>
              <w:rPr>
                <w:rFonts w:ascii="仿宋" w:hAnsi="仿宋" w:eastAsia="仿宋"/>
                <w:color w:val="auto"/>
                <w:sz w:val="24"/>
                <w:highlight w:val="none"/>
              </w:rPr>
              <w:t>投标截止时间：</w:t>
            </w:r>
            <w:r>
              <w:rPr>
                <w:rFonts w:hint="eastAsia" w:ascii="仿宋" w:hAnsi="仿宋" w:eastAsia="仿宋"/>
                <w:color w:val="auto"/>
                <w:sz w:val="24"/>
                <w:highlight w:val="none"/>
                <w:lang w:eastAsia="zh-CN"/>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31</w:t>
            </w:r>
            <w:r>
              <w:rPr>
                <w:rFonts w:hint="eastAsia" w:ascii="仿宋" w:hAnsi="仿宋" w:eastAsia="仿宋"/>
                <w:color w:val="auto"/>
                <w:sz w:val="24"/>
                <w:highlight w:val="none"/>
                <w:lang w:eastAsia="zh-CN"/>
              </w:rPr>
              <w:t>日</w:t>
            </w:r>
            <w:r>
              <w:rPr>
                <w:rFonts w:hint="eastAsia" w:ascii="仿宋" w:hAnsi="仿宋" w:eastAsia="仿宋" w:cs="宋体"/>
                <w:color w:val="auto"/>
                <w:kern w:val="0"/>
                <w:sz w:val="24"/>
                <w:highlight w:val="none"/>
                <w:lang w:val="en-US" w:eastAsia="zh-CN"/>
              </w:rPr>
              <w:t>17</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0</w:t>
            </w:r>
            <w:r>
              <w:rPr>
                <w:rFonts w:hint="eastAsia" w:ascii="仿宋" w:hAnsi="仿宋" w:eastAsia="仿宋" w:cs="宋体"/>
                <w:color w:val="auto"/>
                <w:kern w:val="0"/>
                <w:sz w:val="24"/>
                <w:highlight w:val="none"/>
              </w:rPr>
              <w:t xml:space="preserve">0  </w:t>
            </w:r>
            <w:r>
              <w:rPr>
                <w:rFonts w:ascii="仿宋" w:hAnsi="仿宋" w:eastAsia="仿宋" w:cs="宋体"/>
                <w:color w:val="auto"/>
                <w:kern w:val="0"/>
                <w:sz w:val="24"/>
                <w:highlight w:val="none"/>
              </w:rPr>
              <w:t>（北京时间）</w:t>
            </w:r>
          </w:p>
          <w:p w14:paraId="61CFCB6E">
            <w:pPr>
              <w:spacing w:line="360" w:lineRule="auto"/>
              <w:rPr>
                <w:rFonts w:hint="eastAsia" w:ascii="仿宋" w:hAnsi="仿宋" w:eastAsia="仿宋"/>
                <w:color w:val="auto"/>
                <w:sz w:val="24"/>
                <w:highlight w:val="none"/>
                <w:lang w:eastAsia="zh-CN"/>
              </w:rPr>
            </w:pPr>
            <w:r>
              <w:rPr>
                <w:rFonts w:ascii="仿宋" w:hAnsi="仿宋" w:eastAsia="仿宋"/>
                <w:color w:val="auto"/>
                <w:sz w:val="24"/>
                <w:highlight w:val="none"/>
              </w:rPr>
              <w:t>投标地点：</w:t>
            </w:r>
            <w:r>
              <w:rPr>
                <w:rFonts w:hint="eastAsia" w:ascii="仿宋" w:hAnsi="仿宋" w:eastAsia="仿宋"/>
                <w:color w:val="auto"/>
                <w:sz w:val="24"/>
                <w:highlight w:val="none"/>
                <w:lang w:eastAsia="zh-CN"/>
              </w:rPr>
              <w:t>义乌市中心医院行政楼</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楼</w:t>
            </w:r>
            <w:r>
              <w:rPr>
                <w:rFonts w:hint="eastAsia" w:ascii="仿宋" w:hAnsi="仿宋" w:eastAsia="仿宋"/>
                <w:color w:val="auto"/>
                <w:sz w:val="24"/>
                <w:highlight w:val="none"/>
                <w:lang w:val="en-US" w:eastAsia="zh-CN"/>
              </w:rPr>
              <w:t>采购招标中心</w:t>
            </w:r>
          </w:p>
        </w:tc>
      </w:tr>
      <w:tr w14:paraId="69EC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vAlign w:val="center"/>
          </w:tcPr>
          <w:p w14:paraId="03FD4F6B">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2160" w:type="dxa"/>
            <w:vAlign w:val="center"/>
          </w:tcPr>
          <w:p w14:paraId="53B5D214">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开标时间</w:t>
            </w:r>
          </w:p>
          <w:p w14:paraId="0865F7C3">
            <w:pPr>
              <w:pStyle w:val="6"/>
              <w:spacing w:line="360" w:lineRule="auto"/>
              <w:ind w:firstLine="0"/>
              <w:jc w:val="both"/>
              <w:rPr>
                <w:rFonts w:ascii="仿宋" w:hAnsi="仿宋" w:eastAsia="仿宋"/>
                <w:color w:val="auto"/>
                <w:sz w:val="24"/>
                <w:szCs w:val="24"/>
                <w:highlight w:val="none"/>
              </w:rPr>
            </w:pPr>
            <w:r>
              <w:rPr>
                <w:rFonts w:ascii="仿宋" w:hAnsi="仿宋" w:eastAsia="仿宋"/>
                <w:color w:val="auto"/>
                <w:sz w:val="24"/>
                <w:szCs w:val="24"/>
                <w:highlight w:val="none"/>
              </w:rPr>
              <w:t>开标地点</w:t>
            </w:r>
          </w:p>
        </w:tc>
        <w:tc>
          <w:tcPr>
            <w:tcW w:w="6300" w:type="dxa"/>
            <w:vAlign w:val="center"/>
          </w:tcPr>
          <w:p w14:paraId="0A93396C">
            <w:pPr>
              <w:widowControl/>
              <w:spacing w:before="54" w:after="54" w:line="360" w:lineRule="auto"/>
              <w:ind w:left="54" w:right="54"/>
              <w:outlineLvl w:val="0"/>
              <w:rPr>
                <w:rFonts w:ascii="仿宋" w:hAnsi="仿宋" w:eastAsia="仿宋" w:cs="宋体"/>
                <w:color w:val="auto"/>
                <w:kern w:val="0"/>
                <w:sz w:val="24"/>
                <w:highlight w:val="none"/>
              </w:rPr>
            </w:pPr>
            <w:r>
              <w:rPr>
                <w:rFonts w:ascii="仿宋" w:hAnsi="仿宋" w:eastAsia="仿宋"/>
                <w:color w:val="auto"/>
                <w:sz w:val="24"/>
                <w:highlight w:val="none"/>
              </w:rPr>
              <w:t>开标时间</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日</w:t>
            </w:r>
            <w:r>
              <w:rPr>
                <w:rFonts w:hint="eastAsia" w:ascii="仿宋" w:hAnsi="仿宋" w:eastAsia="仿宋" w:cs="宋体"/>
                <w:color w:val="auto"/>
                <w:kern w:val="0"/>
                <w:sz w:val="24"/>
                <w:highlight w:val="none"/>
                <w:lang w:val="en-US" w:eastAsia="zh-CN"/>
              </w:rPr>
              <w:t>9</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0</w:t>
            </w:r>
            <w:r>
              <w:rPr>
                <w:rFonts w:hint="eastAsia" w:ascii="仿宋" w:hAnsi="仿宋" w:eastAsia="仿宋" w:cs="宋体"/>
                <w:color w:val="auto"/>
                <w:kern w:val="0"/>
                <w:sz w:val="24"/>
                <w:highlight w:val="none"/>
              </w:rPr>
              <w:t>0</w:t>
            </w:r>
            <w:r>
              <w:rPr>
                <w:rFonts w:ascii="仿宋" w:hAnsi="仿宋" w:eastAsia="仿宋" w:cs="宋体"/>
                <w:color w:val="auto"/>
                <w:kern w:val="0"/>
                <w:sz w:val="24"/>
                <w:highlight w:val="none"/>
              </w:rPr>
              <w:t>（北京时间）</w:t>
            </w:r>
          </w:p>
          <w:p w14:paraId="6AF3C5AF">
            <w:pPr>
              <w:adjustRightInd w:val="0"/>
              <w:snapToGrid w:val="0"/>
              <w:spacing w:before="96" w:after="96" w:line="360" w:lineRule="auto"/>
              <w:textAlignment w:val="bottom"/>
              <w:rPr>
                <w:rFonts w:hint="eastAsia" w:ascii="仿宋" w:hAnsi="仿宋" w:eastAsia="仿宋"/>
                <w:color w:val="auto"/>
                <w:sz w:val="24"/>
                <w:highlight w:val="none"/>
                <w:lang w:eastAsia="zh-CN"/>
              </w:rPr>
            </w:pPr>
            <w:r>
              <w:rPr>
                <w:rFonts w:hint="eastAsia" w:ascii="仿宋" w:hAnsi="仿宋" w:eastAsia="仿宋"/>
                <w:color w:val="auto"/>
                <w:sz w:val="24"/>
                <w:highlight w:val="none"/>
              </w:rPr>
              <w:t>开标</w:t>
            </w:r>
            <w:r>
              <w:rPr>
                <w:rFonts w:ascii="仿宋" w:hAnsi="仿宋" w:eastAsia="仿宋"/>
                <w:color w:val="auto"/>
                <w:sz w:val="24"/>
                <w:highlight w:val="none"/>
              </w:rPr>
              <w:t>地点：</w:t>
            </w:r>
            <w:r>
              <w:rPr>
                <w:rFonts w:hint="eastAsia" w:ascii="仿宋" w:hAnsi="仿宋" w:eastAsia="仿宋"/>
                <w:color w:val="auto"/>
                <w:sz w:val="24"/>
                <w:highlight w:val="none"/>
                <w:lang w:eastAsia="zh-CN"/>
              </w:rPr>
              <w:t>义乌市中心医院行政楼</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楼</w:t>
            </w:r>
            <w:r>
              <w:rPr>
                <w:rFonts w:hint="eastAsia" w:ascii="仿宋" w:hAnsi="仿宋" w:eastAsia="仿宋"/>
                <w:color w:val="auto"/>
                <w:sz w:val="24"/>
                <w:highlight w:val="none"/>
                <w:lang w:val="en-US" w:eastAsia="zh-CN"/>
              </w:rPr>
              <w:t>采购招标中心</w:t>
            </w:r>
          </w:p>
        </w:tc>
      </w:tr>
      <w:tr w14:paraId="3767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20" w:type="dxa"/>
            <w:vAlign w:val="center"/>
          </w:tcPr>
          <w:p w14:paraId="57E832D2">
            <w:pPr>
              <w:pStyle w:val="6"/>
              <w:spacing w:line="360" w:lineRule="auto"/>
              <w:ind w:firstLine="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2160" w:type="dxa"/>
            <w:vAlign w:val="center"/>
          </w:tcPr>
          <w:p w14:paraId="57A8698B">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评标办法</w:t>
            </w:r>
          </w:p>
        </w:tc>
        <w:tc>
          <w:tcPr>
            <w:tcW w:w="6300" w:type="dxa"/>
            <w:vAlign w:val="center"/>
          </w:tcPr>
          <w:p w14:paraId="392161A5">
            <w:pPr>
              <w:pStyle w:val="6"/>
              <w:spacing w:line="360" w:lineRule="auto"/>
              <w:ind w:firstLine="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综合评分法</w:t>
            </w:r>
          </w:p>
        </w:tc>
      </w:tr>
    </w:tbl>
    <w:p w14:paraId="4236B26C">
      <w:pPr>
        <w:jc w:val="center"/>
        <w:rPr>
          <w:rFonts w:ascii="仿宋" w:hAnsi="仿宋" w:eastAsia="仿宋"/>
          <w:b/>
          <w:bCs/>
          <w:color w:val="auto"/>
          <w:sz w:val="32"/>
          <w:szCs w:val="32"/>
          <w:highlight w:val="none"/>
          <w:lang w:val="zh-CN"/>
        </w:rPr>
      </w:pPr>
      <w:r>
        <w:rPr>
          <w:rFonts w:hint="eastAsia" w:ascii="仿宋" w:hAnsi="仿宋" w:eastAsia="仿宋"/>
          <w:b/>
          <w:bCs/>
          <w:color w:val="auto"/>
          <w:sz w:val="32"/>
          <w:szCs w:val="32"/>
          <w:highlight w:val="none"/>
          <w:lang w:val="zh-CN"/>
        </w:rPr>
        <w:t>第三章 报价要求</w:t>
      </w:r>
    </w:p>
    <w:p w14:paraId="0E158EC4">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投标人应根据本招标文件和招标人所提供的相关资料及招标代理范围、内容，按照国家有关取费标准，结合自身能力和力量的投入进行</w:t>
      </w:r>
      <w:r>
        <w:rPr>
          <w:rFonts w:hint="eastAsia" w:ascii="仿宋" w:hAnsi="仿宋" w:eastAsia="仿宋"/>
          <w:color w:val="auto"/>
          <w:sz w:val="24"/>
          <w:highlight w:val="none"/>
        </w:rPr>
        <w:t>竞争报价。</w:t>
      </w:r>
    </w:p>
    <w:p w14:paraId="505477A4">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 xml:space="preserve">    1）招标代理服务费按计价格[2002]1980号文件的收费标准计算，投标单位报</w:t>
      </w:r>
      <w:r>
        <w:rPr>
          <w:rFonts w:hint="eastAsia" w:ascii="仿宋" w:hAnsi="仿宋" w:eastAsia="仿宋"/>
          <w:b/>
          <w:color w:val="auto"/>
          <w:sz w:val="24"/>
          <w:highlight w:val="none"/>
          <w:lang w:eastAsia="zh-CN"/>
        </w:rPr>
        <w:t>结算率</w:t>
      </w:r>
      <w:r>
        <w:rPr>
          <w:rFonts w:hint="eastAsia" w:ascii="仿宋" w:hAnsi="仿宋" w:eastAsia="仿宋"/>
          <w:b/>
          <w:color w:val="auto"/>
          <w:sz w:val="24"/>
          <w:highlight w:val="none"/>
        </w:rPr>
        <w:t>（%），招标代理服务费=计价格[2002]1980号文件的收费标准*</w:t>
      </w:r>
      <w:r>
        <w:rPr>
          <w:rFonts w:hint="eastAsia" w:ascii="仿宋" w:hAnsi="仿宋" w:eastAsia="仿宋" w:cs="宋体"/>
          <w:b/>
          <w:bCs w:val="0"/>
          <w:color w:val="auto"/>
          <w:sz w:val="24"/>
          <w:szCs w:val="24"/>
          <w:highlight w:val="none"/>
          <w:lang w:eastAsia="zh-CN"/>
        </w:rPr>
        <w:t>结算率，</w:t>
      </w:r>
      <w:r>
        <w:rPr>
          <w:rFonts w:hint="eastAsia" w:ascii="仿宋" w:hAnsi="仿宋" w:eastAsia="仿宋" w:cs="宋体"/>
          <w:b/>
          <w:bCs w:val="0"/>
          <w:color w:val="auto"/>
          <w:sz w:val="24"/>
          <w:szCs w:val="24"/>
          <w:highlight w:val="none"/>
        </w:rPr>
        <w:t>工程造价咨询服务费</w:t>
      </w:r>
      <w:r>
        <w:rPr>
          <w:rFonts w:hint="eastAsia" w:ascii="仿宋" w:hAnsi="仿宋" w:eastAsia="仿宋" w:cs="宋体"/>
          <w:b/>
          <w:bCs w:val="0"/>
          <w:color w:val="auto"/>
          <w:sz w:val="24"/>
          <w:szCs w:val="24"/>
          <w:highlight w:val="none"/>
          <w:lang w:val="en-US" w:eastAsia="zh-CN"/>
        </w:rPr>
        <w:t>=</w:t>
      </w:r>
      <w:r>
        <w:rPr>
          <w:rFonts w:hint="eastAsia" w:ascii="仿宋" w:hAnsi="仿宋" w:eastAsia="仿宋" w:cs="宋体"/>
          <w:b/>
          <w:bCs w:val="0"/>
          <w:color w:val="auto"/>
          <w:sz w:val="24"/>
          <w:szCs w:val="24"/>
          <w:highlight w:val="none"/>
        </w:rPr>
        <w:t>浙价服〔2009〕84号文件</w:t>
      </w:r>
      <w:r>
        <w:rPr>
          <w:rFonts w:hint="eastAsia" w:ascii="仿宋" w:hAnsi="仿宋" w:eastAsia="仿宋" w:cs="宋体"/>
          <w:b/>
          <w:bCs w:val="0"/>
          <w:color w:val="auto"/>
          <w:sz w:val="24"/>
          <w:szCs w:val="24"/>
          <w:highlight w:val="none"/>
          <w:lang w:val="en-US" w:eastAsia="zh-CN"/>
        </w:rPr>
        <w:t>的收费标准</w:t>
      </w:r>
      <w:r>
        <w:rPr>
          <w:rFonts w:hint="eastAsia" w:ascii="仿宋" w:hAnsi="仿宋" w:eastAsia="仿宋" w:cs="宋体"/>
          <w:b/>
          <w:bCs w:val="0"/>
          <w:color w:val="auto"/>
          <w:sz w:val="24"/>
          <w:szCs w:val="24"/>
          <w:highlight w:val="none"/>
        </w:rPr>
        <w:t>*</w:t>
      </w:r>
      <w:r>
        <w:rPr>
          <w:rFonts w:hint="eastAsia" w:ascii="仿宋" w:hAnsi="仿宋" w:eastAsia="仿宋" w:cs="宋体"/>
          <w:b/>
          <w:bCs w:val="0"/>
          <w:color w:val="auto"/>
          <w:sz w:val="24"/>
          <w:szCs w:val="24"/>
          <w:highlight w:val="none"/>
          <w:lang w:eastAsia="zh-CN"/>
        </w:rPr>
        <w:t>结算率</w:t>
      </w:r>
      <w:r>
        <w:rPr>
          <w:rFonts w:hint="eastAsia" w:ascii="仿宋" w:hAnsi="仿宋" w:eastAsia="仿宋"/>
          <w:b/>
          <w:color w:val="auto"/>
          <w:sz w:val="24"/>
          <w:highlight w:val="none"/>
        </w:rPr>
        <w:t>；</w:t>
      </w:r>
    </w:p>
    <w:p w14:paraId="66CDFF68">
      <w:pPr>
        <w:snapToGrid w:val="0"/>
        <w:spacing w:line="360" w:lineRule="auto"/>
        <w:ind w:firstLine="495"/>
        <w:rPr>
          <w:rFonts w:hint="eastAsia" w:ascii="仿宋" w:hAnsi="仿宋" w:eastAsia="仿宋"/>
          <w:b/>
          <w:color w:val="auto"/>
          <w:sz w:val="24"/>
          <w:highlight w:val="none"/>
        </w:rPr>
      </w:pPr>
      <w:r>
        <w:rPr>
          <w:rFonts w:hint="eastAsia" w:ascii="仿宋" w:hAnsi="仿宋" w:eastAsia="仿宋"/>
          <w:b/>
          <w:color w:val="auto"/>
          <w:sz w:val="24"/>
          <w:highlight w:val="none"/>
        </w:rPr>
        <w:t>2）服务费按单个标段计取，计算基数均为该标段的中标价</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工程造价咨询服务费以施工图预算价作为计费依据；</w:t>
      </w:r>
    </w:p>
    <w:p w14:paraId="0DDE8FF7">
      <w:pPr>
        <w:snapToGrid w:val="0"/>
        <w:spacing w:line="360" w:lineRule="auto"/>
        <w:ind w:firstLine="495"/>
        <w:rPr>
          <w:rFonts w:hint="eastAsia" w:ascii="仿宋" w:hAnsi="仿宋" w:eastAsia="仿宋" w:cs="仿宋"/>
          <w:b/>
          <w:bCs w:val="0"/>
          <w:color w:val="auto"/>
          <w:sz w:val="24"/>
          <w:szCs w:val="20"/>
          <w:highlight w:val="none"/>
          <w:lang w:val="en-US" w:eastAsia="zh-CN"/>
        </w:rPr>
      </w:pPr>
      <w:r>
        <w:rPr>
          <w:rFonts w:hint="eastAsia" w:ascii="仿宋" w:hAnsi="仿宋" w:eastAsia="仿宋"/>
          <w:b/>
          <w:color w:val="auto"/>
          <w:sz w:val="24"/>
          <w:highlight w:val="none"/>
          <w:lang w:val="en-US" w:eastAsia="zh-CN"/>
        </w:rPr>
        <w:t>3）</w:t>
      </w:r>
      <w:r>
        <w:rPr>
          <w:rFonts w:hint="eastAsia" w:ascii="仿宋" w:hAnsi="仿宋" w:eastAsia="仿宋" w:cs="仿宋"/>
          <w:b/>
          <w:bCs w:val="0"/>
          <w:color w:val="auto"/>
          <w:sz w:val="24"/>
          <w:szCs w:val="20"/>
          <w:highlight w:val="none"/>
          <w:lang w:val="en-US" w:eastAsia="zh-CN"/>
        </w:rPr>
        <w:t>为保证服务质量，</w:t>
      </w:r>
      <w:r>
        <w:rPr>
          <w:rFonts w:hint="eastAsia" w:ascii="仿宋" w:hAnsi="仿宋" w:eastAsia="仿宋" w:cs="仿宋"/>
          <w:b/>
          <w:bCs w:val="0"/>
          <w:color w:val="auto"/>
          <w:sz w:val="24"/>
          <w:szCs w:val="20"/>
          <w:highlight w:val="none"/>
          <w:lang w:val="en-US" w:eastAsia="zh-CN"/>
        </w:rPr>
        <w:t>结算率须在60%-100%进行报价；</w:t>
      </w:r>
    </w:p>
    <w:p w14:paraId="333FF15A">
      <w:pPr>
        <w:snapToGrid w:val="0"/>
        <w:spacing w:line="360" w:lineRule="auto"/>
        <w:ind w:firstLine="495"/>
        <w:rPr>
          <w:rFonts w:hint="eastAsia" w:ascii="仿宋" w:hAnsi="仿宋" w:eastAsia="仿宋"/>
          <w:b/>
          <w:color w:val="auto"/>
          <w:sz w:val="24"/>
          <w:highlight w:val="none"/>
        </w:rPr>
      </w:pP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）特殊项目由招标人和投标人协商制定招标代理服务费。</w:t>
      </w:r>
    </w:p>
    <w:p w14:paraId="39E175C9">
      <w:pPr>
        <w:snapToGrid w:val="0"/>
        <w:spacing w:line="360" w:lineRule="auto"/>
        <w:ind w:firstLine="495"/>
        <w:rPr>
          <w:color w:val="auto"/>
          <w:highlight w:val="none"/>
        </w:rPr>
      </w:pPr>
      <w:r>
        <w:rPr>
          <w:rFonts w:hint="eastAsia" w:ascii="仿宋" w:hAnsi="仿宋" w:eastAsia="仿宋" w:cs="Times New Roman"/>
          <w:b/>
          <w:color w:val="auto"/>
          <w:sz w:val="24"/>
          <w:highlight w:val="none"/>
          <w:lang w:val="en-US" w:eastAsia="zh-CN"/>
        </w:rPr>
        <w:t>注：若工程造价咨询服务费经上式计算不足2000元的，按以下方式计取：a、工程造价总额超过5万元（含）的按2000元计取</w:t>
      </w:r>
      <w:r>
        <w:rPr>
          <w:rFonts w:hint="eastAsia" w:ascii="仿宋" w:hAnsi="仿宋" w:eastAsia="仿宋" w:cs="Times New Roman"/>
          <w:b/>
          <w:color w:val="auto"/>
          <w:sz w:val="24"/>
          <w:highlight w:val="none"/>
          <w:lang w:val="en-US" w:eastAsia="zh-CN"/>
        </w:rPr>
        <w:t>；b、工程造价总额为5（不含）万元以下的按1000元计取。</w:t>
      </w:r>
    </w:p>
    <w:p w14:paraId="0162A166">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二、报价中应包括为完成服务内容可能发生的各项费用， 包括</w:t>
      </w:r>
    </w:p>
    <w:p w14:paraId="1D3AF176">
      <w:pPr>
        <w:snapToGrid w:val="0"/>
        <w:spacing w:line="360" w:lineRule="auto"/>
        <w:ind w:firstLine="720" w:firstLineChars="300"/>
        <w:rPr>
          <w:rFonts w:ascii="仿宋" w:hAnsi="仿宋" w:eastAsia="仿宋"/>
          <w:color w:val="auto"/>
          <w:sz w:val="24"/>
          <w:highlight w:val="none"/>
        </w:rPr>
      </w:pPr>
      <w:r>
        <w:rPr>
          <w:rFonts w:hint="eastAsia" w:ascii="仿宋" w:hAnsi="仿宋" w:eastAsia="仿宋"/>
          <w:color w:val="auto"/>
          <w:sz w:val="24"/>
          <w:highlight w:val="none"/>
        </w:rPr>
        <w:t xml:space="preserve">专家评审费（含招标文件评审费，若有），由【服务供应商】支付； </w:t>
      </w:r>
    </w:p>
    <w:p w14:paraId="5AB195D7">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招标公告费、场租费，由【服务供应商】支付，若在报纸上刊登招标公告的，其报纸公告刊登费由【招标人】支付；</w:t>
      </w:r>
    </w:p>
    <w:p w14:paraId="6BA81522">
      <w:pPr>
        <w:pStyle w:val="5"/>
        <w:spacing w:line="360" w:lineRule="auto"/>
        <w:ind w:firstLine="600" w:firstLineChars="25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同个项目一次招标不成功的，再次招标产生的各类相关费用（评标专家费、交易中心场地费、公告和信息发布费等）由招标代理机构自行承担。</w:t>
      </w:r>
    </w:p>
    <w:p w14:paraId="0C4E1E58">
      <w:pPr>
        <w:snapToGrid w:val="0"/>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包括但不仅限于如人工、材料、交通、通讯、设备（仪器）、劳力、利润、税收等其他一切费用。</w:t>
      </w:r>
    </w:p>
    <w:p w14:paraId="7FAB04BF">
      <w:pPr>
        <w:pStyle w:val="5"/>
        <w:spacing w:line="360" w:lineRule="auto"/>
        <w:rPr>
          <w:rFonts w:hint="eastAsia" w:ascii="仿宋" w:hAnsi="仿宋" w:eastAsia="仿宋" w:cs="Times New Roman"/>
          <w:b/>
          <w:bCs/>
          <w:color w:val="auto"/>
          <w:kern w:val="2"/>
          <w:sz w:val="24"/>
          <w:szCs w:val="20"/>
          <w:highlight w:val="none"/>
          <w:lang w:val="en-US" w:eastAsia="zh-CN" w:bidi="ar-SA"/>
        </w:rPr>
      </w:pPr>
      <w:r>
        <w:rPr>
          <w:rFonts w:hint="eastAsia" w:ascii="仿宋" w:hAnsi="仿宋" w:eastAsia="仿宋" w:cs="Times New Roman"/>
          <w:b/>
          <w:bCs/>
          <w:color w:val="auto"/>
          <w:kern w:val="2"/>
          <w:sz w:val="24"/>
          <w:szCs w:val="20"/>
          <w:highlight w:val="none"/>
          <w:lang w:val="en-US" w:eastAsia="zh-CN" w:bidi="ar-SA"/>
        </w:rPr>
        <w:t>三、招标代理服务内容和要求（包括但不限于）：</w:t>
      </w:r>
    </w:p>
    <w:p w14:paraId="3F28D248">
      <w:pPr>
        <w:pStyle w:val="5"/>
        <w:spacing w:line="360" w:lineRule="auto"/>
        <w:rPr>
          <w:rFonts w:ascii="仿宋" w:hAnsi="仿宋" w:eastAsia="仿宋" w:cs="Times New Roman"/>
          <w:color w:val="auto"/>
          <w:sz w:val="24"/>
          <w:szCs w:val="20"/>
          <w:highlight w:val="none"/>
        </w:rPr>
      </w:pPr>
      <w:r>
        <w:rPr>
          <w:rFonts w:hint="eastAsia" w:ascii="仿宋_GB2312" w:hAnsi="仿宋" w:eastAsia="仿宋_GB2312"/>
          <w:color w:val="auto"/>
          <w:szCs w:val="24"/>
          <w:highlight w:val="none"/>
        </w:rPr>
        <w:t xml:space="preserve">   </w:t>
      </w:r>
      <w:r>
        <w:rPr>
          <w:rFonts w:hint="eastAsia" w:ascii="仿宋_GB2312" w:hAnsi="仿宋" w:eastAsia="仿宋_GB2312"/>
          <w:color w:val="auto"/>
          <w:szCs w:val="24"/>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.1代拟招标方案</w:t>
      </w:r>
    </w:p>
    <w:p w14:paraId="2C4D6617">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.2向招投标监督管理部门提出招标申请，发布招标公告</w:t>
      </w:r>
    </w:p>
    <w:p w14:paraId="700D7D47">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.3编制资格预审文件</w:t>
      </w:r>
    </w:p>
    <w:p w14:paraId="2E300ADF">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.4组织接收投标申请人报名</w:t>
      </w:r>
    </w:p>
    <w:p w14:paraId="550C7137">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.5审查潜在投标人资格，确定潜在投标人</w:t>
      </w:r>
    </w:p>
    <w:p w14:paraId="2CFD8B67">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.6编制招标文件</w:t>
      </w:r>
    </w:p>
    <w:p w14:paraId="12413E2B">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 xml:space="preserve">.7组织答疑 </w:t>
      </w:r>
    </w:p>
    <w:p w14:paraId="7AC7AC73">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.8组织开标、评标</w:t>
      </w:r>
    </w:p>
    <w:p w14:paraId="69BE4416">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.9草拟合同并协助合同谈判</w:t>
      </w:r>
    </w:p>
    <w:p w14:paraId="76504219">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.10编制招投标情况书面报告</w:t>
      </w:r>
    </w:p>
    <w:p w14:paraId="7DA02D53">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 xml:space="preserve">   </w:t>
      </w:r>
      <w:r>
        <w:rPr>
          <w:rFonts w:hint="eastAsia" w:ascii="仿宋" w:hAnsi="仿宋" w:eastAsia="仿宋" w:cs="Times New Roman"/>
          <w:color w:val="auto"/>
          <w:sz w:val="24"/>
          <w:szCs w:val="20"/>
          <w:highlight w:val="none"/>
          <w:lang w:val="en-US" w:eastAsia="zh-CN"/>
        </w:rPr>
        <w:t xml:space="preserve"> </w:t>
      </w:r>
      <w:r>
        <w:rPr>
          <w:rFonts w:ascii="仿宋" w:hAnsi="仿宋" w:eastAsia="仿宋" w:cs="Times New Roman"/>
          <w:color w:val="auto"/>
          <w:sz w:val="24"/>
          <w:szCs w:val="20"/>
          <w:highlight w:val="none"/>
        </w:rPr>
        <w:t>3</w:t>
      </w:r>
      <w:r>
        <w:rPr>
          <w:rFonts w:hint="eastAsia" w:ascii="仿宋" w:hAnsi="仿宋" w:eastAsia="仿宋" w:cs="Times New Roman"/>
          <w:color w:val="auto"/>
          <w:sz w:val="24"/>
          <w:szCs w:val="20"/>
          <w:highlight w:val="none"/>
        </w:rPr>
        <w:t>.11负责起草询标纪要，分析投标文件，负责询标会议的会务安排及有关事项的落实</w:t>
      </w:r>
    </w:p>
    <w:p w14:paraId="5CDF9C2C">
      <w:pPr>
        <w:pStyle w:val="5"/>
        <w:spacing w:line="360" w:lineRule="auto"/>
        <w:ind w:firstLine="480" w:firstLineChars="200"/>
        <w:rPr>
          <w:rFonts w:ascii="仿宋" w:hAnsi="仿宋" w:eastAsia="仿宋" w:cs="Times New Roman"/>
          <w:color w:val="auto"/>
          <w:sz w:val="24"/>
          <w:szCs w:val="20"/>
          <w:highlight w:val="none"/>
        </w:rPr>
      </w:pPr>
      <w:r>
        <w:rPr>
          <w:rFonts w:ascii="仿宋" w:hAnsi="仿宋" w:eastAsia="仿宋" w:cs="Times New Roman"/>
          <w:color w:val="auto"/>
          <w:sz w:val="24"/>
          <w:szCs w:val="20"/>
          <w:highlight w:val="none"/>
        </w:rPr>
        <w:t>3.12</w:t>
      </w:r>
      <w:r>
        <w:rPr>
          <w:rFonts w:hint="eastAsia" w:ascii="仿宋" w:hAnsi="仿宋" w:eastAsia="仿宋" w:cs="Times New Roman"/>
          <w:color w:val="auto"/>
          <w:sz w:val="24"/>
          <w:szCs w:val="20"/>
          <w:highlight w:val="none"/>
        </w:rPr>
        <w:t>与招标采购有关的其它事宜。</w:t>
      </w:r>
    </w:p>
    <w:p w14:paraId="554EE20C">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四、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BB48A23">
      <w:pPr>
        <w:pStyle w:val="5"/>
        <w:spacing w:line="360" w:lineRule="auto"/>
        <w:rPr>
          <w:rFonts w:ascii="仿宋" w:hAnsi="仿宋" w:eastAsia="仿宋" w:cs="Times New Roman"/>
          <w:color w:val="auto"/>
          <w:sz w:val="24"/>
          <w:szCs w:val="20"/>
          <w:highlight w:val="none"/>
        </w:rPr>
      </w:pPr>
      <w:bookmarkStart w:id="0" w:name="_Toc91899873"/>
      <w:r>
        <w:rPr>
          <w:rFonts w:hint="eastAsia" w:ascii="仿宋" w:hAnsi="仿宋" w:eastAsia="仿宋" w:cs="Times New Roman"/>
          <w:color w:val="auto"/>
          <w:sz w:val="24"/>
          <w:szCs w:val="20"/>
          <w:highlight w:val="none"/>
        </w:rPr>
        <w:t>五、采购方式</w:t>
      </w:r>
      <w:bookmarkEnd w:id="0"/>
    </w:p>
    <w:p w14:paraId="4D824850">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单位自行组织。</w:t>
      </w:r>
      <w:bookmarkStart w:id="1" w:name="_Hlt68516771"/>
      <w:bookmarkEnd w:id="1"/>
      <w:bookmarkStart w:id="2" w:name="_Hlt74388212"/>
      <w:bookmarkEnd w:id="2"/>
    </w:p>
    <w:p w14:paraId="1E711136">
      <w:pPr>
        <w:pStyle w:val="5"/>
        <w:spacing w:line="360" w:lineRule="auto"/>
        <w:rPr>
          <w:rFonts w:ascii="仿宋" w:hAnsi="仿宋" w:eastAsia="仿宋" w:cs="Times New Roman"/>
          <w:color w:val="auto"/>
          <w:sz w:val="24"/>
          <w:szCs w:val="20"/>
          <w:highlight w:val="none"/>
        </w:rPr>
      </w:pPr>
      <w:bookmarkStart w:id="3" w:name="_Toc91899877"/>
      <w:bookmarkStart w:id="4" w:name="_Hlt74730303"/>
      <w:r>
        <w:rPr>
          <w:rFonts w:hint="eastAsia" w:ascii="仿宋" w:hAnsi="仿宋" w:eastAsia="仿宋" w:cs="Times New Roman"/>
          <w:color w:val="auto"/>
          <w:sz w:val="24"/>
          <w:szCs w:val="20"/>
          <w:highlight w:val="none"/>
        </w:rPr>
        <w:t>六、投标费用</w:t>
      </w:r>
      <w:bookmarkEnd w:id="3"/>
    </w:p>
    <w:bookmarkEnd w:id="4"/>
    <w:p w14:paraId="0E1ED9FD">
      <w:pPr>
        <w:pStyle w:val="5"/>
        <w:spacing w:line="360" w:lineRule="auto"/>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投标人需自行承担涉及投标的一切费用。</w:t>
      </w:r>
    </w:p>
    <w:p w14:paraId="50AA9A46">
      <w:pPr>
        <w:spacing w:line="360" w:lineRule="auto"/>
        <w:ind w:firstLine="241" w:firstLineChars="100"/>
        <w:rPr>
          <w:rFonts w:ascii="仿宋" w:hAnsi="仿宋" w:eastAsia="仿宋"/>
          <w:b/>
          <w:color w:val="auto"/>
          <w:sz w:val="24"/>
          <w:highlight w:val="none"/>
        </w:rPr>
      </w:pPr>
    </w:p>
    <w:p w14:paraId="61B9A0D8">
      <w:pPr>
        <w:spacing w:line="360" w:lineRule="auto"/>
        <w:ind w:firstLine="240" w:firstLineChars="100"/>
        <w:rPr>
          <w:rFonts w:ascii="仿宋" w:hAnsi="仿宋" w:eastAsia="仿宋"/>
          <w:color w:val="auto"/>
          <w:sz w:val="24"/>
          <w:highlight w:val="none"/>
        </w:rPr>
      </w:pPr>
    </w:p>
    <w:p w14:paraId="377C3626">
      <w:pPr>
        <w:spacing w:line="360" w:lineRule="auto"/>
        <w:ind w:firstLine="240" w:firstLineChars="100"/>
        <w:rPr>
          <w:rFonts w:ascii="仿宋" w:hAnsi="仿宋" w:eastAsia="仿宋"/>
          <w:color w:val="auto"/>
          <w:sz w:val="24"/>
          <w:highlight w:val="none"/>
        </w:rPr>
      </w:pPr>
    </w:p>
    <w:p w14:paraId="4A2706B2">
      <w:pPr>
        <w:spacing w:line="360" w:lineRule="auto"/>
        <w:ind w:firstLine="240" w:firstLineChars="100"/>
        <w:rPr>
          <w:rFonts w:ascii="仿宋" w:hAnsi="仿宋" w:eastAsia="仿宋"/>
          <w:color w:val="auto"/>
          <w:sz w:val="24"/>
          <w:highlight w:val="none"/>
        </w:rPr>
      </w:pPr>
    </w:p>
    <w:p w14:paraId="4082B2B1">
      <w:pPr>
        <w:spacing w:line="360" w:lineRule="auto"/>
        <w:ind w:firstLine="240" w:firstLineChars="100"/>
        <w:rPr>
          <w:rFonts w:ascii="仿宋" w:hAnsi="仿宋" w:eastAsia="仿宋"/>
          <w:color w:val="auto"/>
          <w:sz w:val="24"/>
          <w:highlight w:val="none"/>
        </w:rPr>
      </w:pPr>
    </w:p>
    <w:p w14:paraId="39B61F48">
      <w:pPr>
        <w:spacing w:line="360" w:lineRule="auto"/>
        <w:ind w:firstLine="240" w:firstLineChars="100"/>
        <w:rPr>
          <w:rFonts w:ascii="仿宋" w:hAnsi="仿宋" w:eastAsia="仿宋"/>
          <w:color w:val="auto"/>
          <w:sz w:val="24"/>
          <w:highlight w:val="none"/>
        </w:rPr>
      </w:pPr>
    </w:p>
    <w:p w14:paraId="111E4DAD">
      <w:pPr>
        <w:spacing w:line="360" w:lineRule="auto"/>
        <w:ind w:firstLine="240" w:firstLineChars="100"/>
        <w:rPr>
          <w:rFonts w:ascii="仿宋" w:hAnsi="仿宋" w:eastAsia="仿宋"/>
          <w:color w:val="auto"/>
          <w:sz w:val="24"/>
          <w:highlight w:val="none"/>
        </w:rPr>
      </w:pPr>
    </w:p>
    <w:p w14:paraId="230E532E">
      <w:pPr>
        <w:spacing w:line="360" w:lineRule="auto"/>
        <w:ind w:firstLine="240" w:firstLineChars="100"/>
        <w:rPr>
          <w:rFonts w:ascii="仿宋" w:hAnsi="仿宋" w:eastAsia="仿宋"/>
          <w:color w:val="auto"/>
          <w:sz w:val="24"/>
          <w:highlight w:val="none"/>
        </w:rPr>
      </w:pPr>
    </w:p>
    <w:p w14:paraId="05259E0B">
      <w:pPr>
        <w:spacing w:line="360" w:lineRule="auto"/>
        <w:ind w:firstLine="240" w:firstLineChars="100"/>
        <w:rPr>
          <w:rFonts w:ascii="仿宋" w:hAnsi="仿宋" w:eastAsia="仿宋"/>
          <w:color w:val="auto"/>
          <w:sz w:val="24"/>
          <w:highlight w:val="none"/>
        </w:rPr>
      </w:pPr>
    </w:p>
    <w:p w14:paraId="29E73946">
      <w:pPr>
        <w:spacing w:line="360" w:lineRule="auto"/>
        <w:ind w:firstLine="240" w:firstLineChars="100"/>
        <w:rPr>
          <w:rFonts w:ascii="仿宋" w:hAnsi="仿宋" w:eastAsia="仿宋"/>
          <w:color w:val="auto"/>
          <w:sz w:val="24"/>
          <w:highlight w:val="none"/>
        </w:rPr>
      </w:pPr>
    </w:p>
    <w:p w14:paraId="756B839D">
      <w:pPr>
        <w:spacing w:line="360" w:lineRule="auto"/>
        <w:ind w:firstLine="240" w:firstLineChars="100"/>
        <w:rPr>
          <w:rFonts w:ascii="仿宋" w:hAnsi="仿宋" w:eastAsia="仿宋"/>
          <w:color w:val="auto"/>
          <w:sz w:val="24"/>
          <w:highlight w:val="none"/>
        </w:rPr>
      </w:pPr>
    </w:p>
    <w:p w14:paraId="43D3E9BB">
      <w:pPr>
        <w:spacing w:line="360" w:lineRule="auto"/>
        <w:ind w:firstLine="240" w:firstLineChars="100"/>
        <w:rPr>
          <w:rFonts w:ascii="仿宋" w:hAnsi="仿宋" w:eastAsia="仿宋"/>
          <w:color w:val="auto"/>
          <w:sz w:val="24"/>
          <w:highlight w:val="none"/>
        </w:rPr>
      </w:pPr>
    </w:p>
    <w:p w14:paraId="505C957E">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5D81DDDA">
      <w:pPr>
        <w:spacing w:line="360" w:lineRule="auto"/>
        <w:ind w:firstLine="321" w:firstLineChars="100"/>
        <w:jc w:val="center"/>
        <w:rPr>
          <w:rFonts w:hint="default" w:ascii="仿宋" w:hAnsi="仿宋" w:eastAsia="仿宋"/>
          <w:color w:val="auto"/>
          <w:sz w:val="24"/>
          <w:highlight w:val="none"/>
          <w:lang w:val="en-US" w:eastAsia="zh-CN"/>
        </w:rPr>
      </w:pPr>
      <w:r>
        <w:rPr>
          <w:rFonts w:hint="eastAsia" w:ascii="仿宋" w:hAnsi="仿宋" w:eastAsia="仿宋"/>
          <w:b/>
          <w:color w:val="auto"/>
          <w:sz w:val="32"/>
          <w:szCs w:val="32"/>
          <w:highlight w:val="none"/>
        </w:rPr>
        <w:t>第四章   招标</w:t>
      </w:r>
      <w:r>
        <w:rPr>
          <w:rFonts w:hint="eastAsia" w:ascii="仿宋" w:hAnsi="仿宋" w:eastAsia="仿宋"/>
          <w:b/>
          <w:color w:val="auto"/>
          <w:sz w:val="32"/>
          <w:szCs w:val="32"/>
          <w:highlight w:val="none"/>
          <w:lang w:val="en-US" w:eastAsia="zh-CN"/>
        </w:rPr>
        <w:t>项目要求</w:t>
      </w:r>
    </w:p>
    <w:p w14:paraId="07D1090C">
      <w:pPr>
        <w:spacing w:line="440" w:lineRule="exact"/>
        <w:ind w:firstLine="482" w:firstLineChars="200"/>
        <w:rPr>
          <w:rFonts w:hint="eastAsia" w:ascii="仿宋" w:hAnsi="仿宋" w:eastAsia="仿宋"/>
          <w:b w:val="0"/>
          <w:bCs w:val="0"/>
          <w:color w:val="auto"/>
          <w:sz w:val="24"/>
          <w:highlight w:val="none"/>
          <w:lang w:eastAsia="zh-CN"/>
        </w:rPr>
      </w:pPr>
      <w:r>
        <w:rPr>
          <w:rFonts w:hint="eastAsia" w:ascii="仿宋" w:hAnsi="仿宋" w:eastAsia="仿宋"/>
          <w:b/>
          <w:bCs/>
          <w:color w:val="auto"/>
          <w:sz w:val="24"/>
          <w:highlight w:val="none"/>
          <w:lang w:eastAsia="zh-CN"/>
        </w:rPr>
        <w:t>工程类招标代理服务，</w:t>
      </w:r>
      <w:r>
        <w:rPr>
          <w:rFonts w:hint="eastAsia" w:ascii="仿宋" w:hAnsi="仿宋" w:eastAsia="仿宋"/>
          <w:b w:val="0"/>
          <w:bCs w:val="0"/>
          <w:color w:val="auto"/>
          <w:sz w:val="24"/>
          <w:highlight w:val="none"/>
          <w:lang w:eastAsia="zh-CN"/>
        </w:rPr>
        <w:t>指医院各类基本建设项目，包括房屋新建、维修、改造、装修以及室外土石方、场地、道路、供水、排水、消防、园林绿化、围墙等各类新建、维修和改造项目。</w:t>
      </w:r>
    </w:p>
    <w:p w14:paraId="098C4F66">
      <w:pP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本项目投标人负责实施的事项包含并不限于以下内容：</w:t>
      </w:r>
      <w:r>
        <w:rPr>
          <w:rFonts w:hint="eastAsia" w:ascii="仿宋" w:hAnsi="仿宋" w:eastAsia="仿宋"/>
          <w:color w:val="auto"/>
          <w:sz w:val="24"/>
          <w:highlight w:val="none"/>
          <w:u w:val="single"/>
        </w:rPr>
        <w:t>编制招标（或谈判、</w:t>
      </w:r>
    </w:p>
    <w:p w14:paraId="79CD09C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u w:val="single"/>
        </w:rPr>
        <w:t>询价）文件、向招投标监督管理部门提交招标申请、协助招标人审查投标人资格、制定评标办法和定标程序、发布采购信息、报名、组织投标人踏勘现场和答疑、整理发放答疑纪要、代收代退投标保证金、组织开标、评标和定标、提交招投标书面情况报告、协助合同的签订、组织实施采购程序、支付专家费等。</w:t>
      </w:r>
    </w:p>
    <w:p w14:paraId="14144E6F">
      <w:pPr>
        <w:spacing w:line="360" w:lineRule="auto"/>
        <w:ind w:firstLine="480" w:firstLineChars="200"/>
        <w:rPr>
          <w:rFonts w:hint="default"/>
          <w:color w:val="auto"/>
          <w:sz w:val="24"/>
          <w:szCs w:val="22"/>
          <w:highlight w:val="none"/>
          <w:lang w:val="en-US" w:eastAsia="zh-CN"/>
        </w:rPr>
      </w:pPr>
      <w:r>
        <w:rPr>
          <w:rFonts w:hint="eastAsia" w:ascii="仿宋" w:hAnsi="仿宋" w:eastAsia="仿宋"/>
          <w:color w:val="auto"/>
          <w:sz w:val="24"/>
          <w:highlight w:val="none"/>
        </w:rPr>
        <w:t>招标代理服务费由中标人或成交人按计费标准直接向中标人支付。</w:t>
      </w:r>
      <w:r>
        <w:rPr>
          <w:rFonts w:hint="eastAsia" w:ascii="仿宋" w:hAnsi="仿宋" w:eastAsia="仿宋"/>
          <w:color w:val="auto"/>
          <w:sz w:val="24"/>
          <w:highlight w:val="none"/>
          <w:lang w:val="en-US" w:eastAsia="zh-CN"/>
        </w:rPr>
        <w:t>工程类涉及</w:t>
      </w:r>
      <w:r>
        <w:rPr>
          <w:rFonts w:hint="eastAsia" w:ascii="仿宋" w:hAnsi="仿宋" w:eastAsia="仿宋" w:cs="Times New Roman"/>
          <w:color w:val="auto"/>
          <w:sz w:val="24"/>
          <w:highlight w:val="none"/>
          <w:lang w:val="en-US" w:eastAsia="zh-CN"/>
        </w:rPr>
        <w:t>工程造价咨询</w:t>
      </w:r>
      <w:r>
        <w:rPr>
          <w:rFonts w:hint="eastAsia" w:ascii="仿宋" w:hAnsi="仿宋" w:eastAsia="仿宋" w:cs="Times New Roman"/>
          <w:color w:val="auto"/>
          <w:sz w:val="24"/>
          <w:highlight w:val="none"/>
          <w:lang w:eastAsia="zh-CN"/>
        </w:rPr>
        <w:t>服务</w:t>
      </w:r>
      <w:r>
        <w:rPr>
          <w:rFonts w:hint="eastAsia" w:ascii="仿宋" w:hAnsi="仿宋" w:eastAsia="仿宋" w:cs="Times New Roman"/>
          <w:color w:val="auto"/>
          <w:sz w:val="24"/>
          <w:highlight w:val="none"/>
        </w:rPr>
        <w:t>费</w:t>
      </w:r>
      <w:r>
        <w:rPr>
          <w:rFonts w:hint="eastAsia" w:ascii="仿宋" w:hAnsi="仿宋" w:eastAsia="仿宋"/>
          <w:color w:val="auto"/>
          <w:sz w:val="24"/>
          <w:highlight w:val="none"/>
        </w:rPr>
        <w:t>由中标人或成交人按计费标准直接向中标人支付</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若为无需招标的零星预算编制则</w:t>
      </w:r>
      <w:r>
        <w:rPr>
          <w:rFonts w:hint="eastAsia" w:ascii="仿宋" w:hAnsi="仿宋" w:eastAsia="仿宋" w:cs="Times New Roman"/>
          <w:color w:val="auto"/>
          <w:sz w:val="24"/>
          <w:highlight w:val="none"/>
          <w:lang w:val="en-US" w:eastAsia="zh-CN"/>
        </w:rPr>
        <w:t>工程造价咨询</w:t>
      </w:r>
      <w:r>
        <w:rPr>
          <w:rFonts w:hint="eastAsia" w:ascii="仿宋" w:hAnsi="仿宋" w:eastAsia="仿宋" w:cs="Times New Roman"/>
          <w:color w:val="auto"/>
          <w:sz w:val="24"/>
          <w:highlight w:val="none"/>
          <w:lang w:eastAsia="zh-CN"/>
        </w:rPr>
        <w:t>服务</w:t>
      </w:r>
      <w:r>
        <w:rPr>
          <w:rFonts w:hint="eastAsia" w:ascii="仿宋" w:hAnsi="仿宋" w:eastAsia="仿宋" w:cs="Times New Roman"/>
          <w:color w:val="auto"/>
          <w:sz w:val="24"/>
          <w:highlight w:val="none"/>
        </w:rPr>
        <w:t>费</w:t>
      </w:r>
      <w:r>
        <w:rPr>
          <w:rFonts w:hint="eastAsia" w:ascii="仿宋" w:hAnsi="仿宋" w:eastAsia="仿宋" w:cs="Times New Roman"/>
          <w:color w:val="auto"/>
          <w:sz w:val="24"/>
          <w:highlight w:val="none"/>
          <w:lang w:val="en-US" w:eastAsia="zh-CN"/>
        </w:rPr>
        <w:t>由建设单位支付</w:t>
      </w:r>
      <w:r>
        <w:rPr>
          <w:rFonts w:hint="eastAsia" w:ascii="仿宋" w:hAnsi="仿宋" w:eastAsia="仿宋"/>
          <w:color w:val="auto"/>
          <w:sz w:val="24"/>
          <w:highlight w:val="none"/>
          <w:lang w:eastAsia="zh-CN"/>
        </w:rPr>
        <w:t>）</w:t>
      </w:r>
    </w:p>
    <w:p w14:paraId="1CFDF4DF">
      <w:pPr>
        <w:spacing w:line="360" w:lineRule="auto"/>
        <w:ind w:firstLine="480" w:firstLineChars="200"/>
        <w:rPr>
          <w:rFonts w:hint="default"/>
          <w:color w:val="auto"/>
          <w:highlight w:val="none"/>
          <w:lang w:val="en-US" w:eastAsia="zh-CN"/>
        </w:rPr>
      </w:pPr>
      <w:r>
        <w:rPr>
          <w:rFonts w:hint="eastAsia" w:ascii="仿宋" w:hAnsi="仿宋" w:eastAsia="仿宋" w:cs="Times New Roman"/>
          <w:color w:val="auto"/>
          <w:kern w:val="2"/>
          <w:sz w:val="24"/>
          <w:szCs w:val="20"/>
          <w:highlight w:val="none"/>
          <w:lang w:val="en-US" w:eastAsia="zh-CN" w:bidi="ar-SA"/>
        </w:rPr>
        <w:t>工程造价咨询服务工期要求：预算5万元（不含）以内项目，工期要求5天；预算5万元（含）-20万元（不含）项目，工期要求10天；预算20万元（含）-100万元（不含）项目，工期要求14天；预算100万元（含）以上项目，工期视项目情况而定；</w:t>
      </w:r>
    </w:p>
    <w:p w14:paraId="527B5A24">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本项目所有要求提供原件备查的资料复印件必须和</w:t>
      </w:r>
      <w:r>
        <w:rPr>
          <w:rFonts w:hint="eastAsia" w:ascii="仿宋" w:hAnsi="仿宋" w:eastAsia="仿宋"/>
          <w:color w:val="auto"/>
          <w:sz w:val="24"/>
          <w:highlight w:val="none"/>
          <w:lang w:val="en-US" w:eastAsia="zh-CN"/>
        </w:rPr>
        <w:t>原件</w:t>
      </w:r>
      <w:r>
        <w:rPr>
          <w:rFonts w:hint="eastAsia" w:ascii="仿宋" w:hAnsi="仿宋" w:eastAsia="仿宋"/>
          <w:color w:val="auto"/>
          <w:sz w:val="24"/>
          <w:highlight w:val="none"/>
        </w:rPr>
        <w:t>保持一致。</w:t>
      </w:r>
      <w:r>
        <w:rPr>
          <w:rFonts w:ascii="仿宋" w:hAnsi="仿宋" w:eastAsia="仿宋"/>
          <w:color w:val="auto"/>
          <w:sz w:val="24"/>
          <w:highlight w:val="none"/>
        </w:rPr>
        <w:t xml:space="preserve"> </w:t>
      </w:r>
    </w:p>
    <w:p w14:paraId="0E1C488A">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招标代理服务收费计价基准</w:t>
      </w:r>
    </w:p>
    <w:p w14:paraId="387A0229">
      <w:pPr>
        <w:tabs>
          <w:tab w:val="left" w:pos="4125"/>
        </w:tabs>
        <w:spacing w:line="360" w:lineRule="auto"/>
        <w:jc w:val="center"/>
        <w:rPr>
          <w:rFonts w:ascii="仿宋" w:hAnsi="仿宋" w:eastAsia="仿宋"/>
          <w:color w:val="auto"/>
          <w:sz w:val="24"/>
          <w:highlight w:val="none"/>
        </w:rPr>
      </w:pPr>
      <w:r>
        <w:rPr>
          <w:rFonts w:hint="eastAsia" w:eastAsia="仿宋_GB2312"/>
          <w:color w:val="auto"/>
          <w:sz w:val="28"/>
          <w:highlight w:val="none"/>
        </w:rPr>
        <w:t>招标代理服务收费标准[2002]1980号文件</w:t>
      </w:r>
    </w:p>
    <w:tbl>
      <w:tblPr>
        <w:tblStyle w:val="11"/>
        <w:tblW w:w="946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340"/>
        <w:gridCol w:w="2160"/>
        <w:gridCol w:w="2340"/>
      </w:tblGrid>
      <w:tr w14:paraId="1755F1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trPr>
        <w:tc>
          <w:tcPr>
            <w:tcW w:w="2628" w:type="dxa"/>
            <w:vMerge w:val="restart"/>
            <w:vAlign w:val="center"/>
          </w:tcPr>
          <w:p w14:paraId="73ACFDF5">
            <w:pPr>
              <w:tabs>
                <w:tab w:val="left" w:pos="0"/>
              </w:tabs>
              <w:spacing w:line="360" w:lineRule="auto"/>
              <w:jc w:val="center"/>
              <w:rPr>
                <w:caps/>
                <w:color w:val="auto"/>
                <w:spacing w:val="20"/>
                <w:sz w:val="24"/>
                <w:highlight w:val="none"/>
              </w:rPr>
            </w:pPr>
            <w:r>
              <w:rPr>
                <w:color w:val="auto"/>
                <w:spacing w:val="20"/>
                <w:sz w:val="24"/>
                <w:highlight w:val="none"/>
              </w:rPr>
              <w:t>中标金额（万元）</w:t>
            </w:r>
          </w:p>
        </w:tc>
        <w:tc>
          <w:tcPr>
            <w:tcW w:w="6840" w:type="dxa"/>
            <w:gridSpan w:val="3"/>
            <w:tcBorders>
              <w:bottom w:val="single" w:color="auto" w:sz="4" w:space="0"/>
            </w:tcBorders>
            <w:vAlign w:val="center"/>
          </w:tcPr>
          <w:p w14:paraId="39E43EA3">
            <w:pPr>
              <w:tabs>
                <w:tab w:val="left" w:pos="0"/>
              </w:tabs>
              <w:spacing w:line="360" w:lineRule="auto"/>
              <w:jc w:val="center"/>
              <w:rPr>
                <w:caps/>
                <w:color w:val="auto"/>
                <w:spacing w:val="20"/>
                <w:sz w:val="24"/>
                <w:highlight w:val="none"/>
              </w:rPr>
            </w:pPr>
            <w:r>
              <w:rPr>
                <w:color w:val="auto"/>
                <w:spacing w:val="20"/>
                <w:sz w:val="24"/>
                <w:highlight w:val="none"/>
              </w:rPr>
              <w:t>服务类型</w:t>
            </w:r>
          </w:p>
        </w:tc>
      </w:tr>
      <w:tr w14:paraId="1E79E0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2628" w:type="dxa"/>
            <w:vMerge w:val="continue"/>
            <w:vAlign w:val="center"/>
          </w:tcPr>
          <w:p w14:paraId="17E63D23">
            <w:pPr>
              <w:tabs>
                <w:tab w:val="left" w:pos="0"/>
              </w:tabs>
              <w:spacing w:line="360" w:lineRule="auto"/>
              <w:jc w:val="center"/>
              <w:rPr>
                <w:color w:val="auto"/>
                <w:spacing w:val="20"/>
                <w:sz w:val="24"/>
                <w:highlight w:val="none"/>
              </w:rPr>
            </w:pPr>
          </w:p>
        </w:tc>
        <w:tc>
          <w:tcPr>
            <w:tcW w:w="2340" w:type="dxa"/>
            <w:tcBorders>
              <w:top w:val="single" w:color="auto" w:sz="4" w:space="0"/>
              <w:bottom w:val="single" w:color="auto" w:sz="4" w:space="0"/>
            </w:tcBorders>
            <w:vAlign w:val="center"/>
          </w:tcPr>
          <w:p w14:paraId="01878EE2">
            <w:pPr>
              <w:tabs>
                <w:tab w:val="left" w:pos="0"/>
              </w:tabs>
              <w:spacing w:line="360" w:lineRule="auto"/>
              <w:jc w:val="center"/>
              <w:rPr>
                <w:caps/>
                <w:color w:val="auto"/>
                <w:spacing w:val="20"/>
                <w:sz w:val="24"/>
                <w:highlight w:val="none"/>
              </w:rPr>
            </w:pPr>
            <w:r>
              <w:rPr>
                <w:color w:val="auto"/>
                <w:spacing w:val="20"/>
                <w:sz w:val="24"/>
                <w:highlight w:val="none"/>
              </w:rPr>
              <w:t>货物招标</w:t>
            </w:r>
          </w:p>
        </w:tc>
        <w:tc>
          <w:tcPr>
            <w:tcW w:w="2160" w:type="dxa"/>
            <w:tcBorders>
              <w:top w:val="single" w:color="auto" w:sz="4" w:space="0"/>
              <w:bottom w:val="single" w:color="auto" w:sz="4" w:space="0"/>
            </w:tcBorders>
            <w:vAlign w:val="center"/>
          </w:tcPr>
          <w:p w14:paraId="4DD19312">
            <w:pPr>
              <w:tabs>
                <w:tab w:val="left" w:pos="0"/>
              </w:tabs>
              <w:spacing w:line="360" w:lineRule="auto"/>
              <w:jc w:val="center"/>
              <w:rPr>
                <w:caps/>
                <w:color w:val="auto"/>
                <w:spacing w:val="20"/>
                <w:sz w:val="24"/>
                <w:highlight w:val="none"/>
              </w:rPr>
            </w:pPr>
            <w:r>
              <w:rPr>
                <w:color w:val="auto"/>
                <w:spacing w:val="20"/>
                <w:sz w:val="24"/>
                <w:highlight w:val="none"/>
              </w:rPr>
              <w:t>服务招标</w:t>
            </w:r>
          </w:p>
        </w:tc>
        <w:tc>
          <w:tcPr>
            <w:tcW w:w="2340" w:type="dxa"/>
            <w:tcBorders>
              <w:top w:val="single" w:color="auto" w:sz="4" w:space="0"/>
              <w:bottom w:val="single" w:color="auto" w:sz="4" w:space="0"/>
            </w:tcBorders>
            <w:vAlign w:val="center"/>
          </w:tcPr>
          <w:p w14:paraId="05927AC9">
            <w:pPr>
              <w:tabs>
                <w:tab w:val="left" w:pos="0"/>
              </w:tabs>
              <w:spacing w:line="360" w:lineRule="auto"/>
              <w:jc w:val="center"/>
              <w:rPr>
                <w:caps/>
                <w:color w:val="auto"/>
                <w:spacing w:val="20"/>
                <w:sz w:val="24"/>
                <w:highlight w:val="none"/>
              </w:rPr>
            </w:pPr>
            <w:r>
              <w:rPr>
                <w:color w:val="auto"/>
                <w:spacing w:val="20"/>
                <w:sz w:val="24"/>
                <w:highlight w:val="none"/>
              </w:rPr>
              <w:t>工程招标</w:t>
            </w:r>
          </w:p>
        </w:tc>
      </w:tr>
      <w:tr w14:paraId="0436C1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trPr>
        <w:tc>
          <w:tcPr>
            <w:tcW w:w="2628" w:type="dxa"/>
            <w:vMerge w:val="continue"/>
            <w:vAlign w:val="center"/>
          </w:tcPr>
          <w:p w14:paraId="31B692AA">
            <w:pPr>
              <w:tabs>
                <w:tab w:val="left" w:pos="0"/>
              </w:tabs>
              <w:spacing w:line="360" w:lineRule="auto"/>
              <w:jc w:val="center"/>
              <w:rPr>
                <w:color w:val="auto"/>
                <w:spacing w:val="20"/>
                <w:sz w:val="24"/>
                <w:highlight w:val="none"/>
              </w:rPr>
            </w:pPr>
          </w:p>
        </w:tc>
        <w:tc>
          <w:tcPr>
            <w:tcW w:w="6840" w:type="dxa"/>
            <w:gridSpan w:val="3"/>
            <w:tcBorders>
              <w:top w:val="single" w:color="auto" w:sz="4" w:space="0"/>
            </w:tcBorders>
            <w:vAlign w:val="center"/>
          </w:tcPr>
          <w:p w14:paraId="7451CC65">
            <w:pPr>
              <w:tabs>
                <w:tab w:val="left" w:pos="0"/>
              </w:tabs>
              <w:spacing w:line="360" w:lineRule="auto"/>
              <w:jc w:val="center"/>
              <w:rPr>
                <w:color w:val="auto"/>
                <w:spacing w:val="20"/>
                <w:sz w:val="24"/>
                <w:highlight w:val="none"/>
              </w:rPr>
            </w:pPr>
            <w:r>
              <w:rPr>
                <w:color w:val="auto"/>
                <w:spacing w:val="20"/>
                <w:sz w:val="24"/>
                <w:highlight w:val="none"/>
              </w:rPr>
              <w:t>费率</w:t>
            </w:r>
          </w:p>
        </w:tc>
      </w:tr>
      <w:tr w14:paraId="1389EA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662A4BDB">
            <w:pPr>
              <w:tabs>
                <w:tab w:val="left" w:pos="0"/>
              </w:tabs>
              <w:spacing w:line="360" w:lineRule="auto"/>
              <w:jc w:val="center"/>
              <w:rPr>
                <w:color w:val="auto"/>
                <w:spacing w:val="20"/>
                <w:sz w:val="24"/>
                <w:highlight w:val="none"/>
              </w:rPr>
            </w:pPr>
            <w:r>
              <w:rPr>
                <w:color w:val="auto"/>
                <w:spacing w:val="20"/>
                <w:sz w:val="24"/>
                <w:highlight w:val="none"/>
              </w:rPr>
              <w:t>100以下</w:t>
            </w:r>
          </w:p>
        </w:tc>
        <w:tc>
          <w:tcPr>
            <w:tcW w:w="2340" w:type="dxa"/>
            <w:vAlign w:val="center"/>
          </w:tcPr>
          <w:p w14:paraId="33F2CD36">
            <w:pPr>
              <w:tabs>
                <w:tab w:val="left" w:pos="0"/>
              </w:tabs>
              <w:spacing w:line="360" w:lineRule="auto"/>
              <w:jc w:val="center"/>
              <w:rPr>
                <w:color w:val="auto"/>
                <w:spacing w:val="20"/>
                <w:sz w:val="24"/>
                <w:highlight w:val="none"/>
              </w:rPr>
            </w:pPr>
            <w:r>
              <w:rPr>
                <w:color w:val="auto"/>
                <w:spacing w:val="20"/>
                <w:sz w:val="24"/>
                <w:highlight w:val="none"/>
              </w:rPr>
              <w:t>1.5%</w:t>
            </w:r>
          </w:p>
        </w:tc>
        <w:tc>
          <w:tcPr>
            <w:tcW w:w="2160" w:type="dxa"/>
            <w:vAlign w:val="center"/>
          </w:tcPr>
          <w:p w14:paraId="7D08B9C9">
            <w:pPr>
              <w:tabs>
                <w:tab w:val="left" w:pos="0"/>
              </w:tabs>
              <w:spacing w:line="360" w:lineRule="auto"/>
              <w:jc w:val="center"/>
              <w:rPr>
                <w:color w:val="auto"/>
                <w:spacing w:val="20"/>
                <w:sz w:val="24"/>
                <w:highlight w:val="none"/>
              </w:rPr>
            </w:pPr>
            <w:r>
              <w:rPr>
                <w:color w:val="auto"/>
                <w:spacing w:val="20"/>
                <w:sz w:val="24"/>
                <w:highlight w:val="none"/>
              </w:rPr>
              <w:t>1.5%</w:t>
            </w:r>
          </w:p>
        </w:tc>
        <w:tc>
          <w:tcPr>
            <w:tcW w:w="2340" w:type="dxa"/>
            <w:vAlign w:val="center"/>
          </w:tcPr>
          <w:p w14:paraId="7E4D081D">
            <w:pPr>
              <w:tabs>
                <w:tab w:val="left" w:pos="0"/>
              </w:tabs>
              <w:spacing w:line="360" w:lineRule="auto"/>
              <w:jc w:val="center"/>
              <w:rPr>
                <w:color w:val="auto"/>
                <w:spacing w:val="20"/>
                <w:sz w:val="24"/>
                <w:highlight w:val="none"/>
              </w:rPr>
            </w:pPr>
            <w:r>
              <w:rPr>
                <w:color w:val="auto"/>
                <w:spacing w:val="20"/>
                <w:sz w:val="24"/>
                <w:highlight w:val="none"/>
              </w:rPr>
              <w:t>1.0%</w:t>
            </w:r>
          </w:p>
        </w:tc>
      </w:tr>
      <w:tr w14:paraId="345928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34982561">
            <w:pPr>
              <w:tabs>
                <w:tab w:val="left" w:pos="0"/>
              </w:tabs>
              <w:spacing w:line="360" w:lineRule="auto"/>
              <w:jc w:val="center"/>
              <w:rPr>
                <w:color w:val="auto"/>
                <w:spacing w:val="20"/>
                <w:sz w:val="24"/>
                <w:highlight w:val="none"/>
              </w:rPr>
            </w:pPr>
            <w:r>
              <w:rPr>
                <w:color w:val="auto"/>
                <w:spacing w:val="20"/>
                <w:sz w:val="24"/>
                <w:highlight w:val="none"/>
              </w:rPr>
              <w:t>100-500</w:t>
            </w:r>
          </w:p>
        </w:tc>
        <w:tc>
          <w:tcPr>
            <w:tcW w:w="2340" w:type="dxa"/>
            <w:vAlign w:val="center"/>
          </w:tcPr>
          <w:p w14:paraId="160C035F">
            <w:pPr>
              <w:tabs>
                <w:tab w:val="left" w:pos="0"/>
              </w:tabs>
              <w:spacing w:line="360" w:lineRule="auto"/>
              <w:jc w:val="center"/>
              <w:rPr>
                <w:color w:val="auto"/>
                <w:spacing w:val="20"/>
                <w:sz w:val="24"/>
                <w:highlight w:val="none"/>
              </w:rPr>
            </w:pPr>
            <w:r>
              <w:rPr>
                <w:color w:val="auto"/>
                <w:spacing w:val="20"/>
                <w:sz w:val="24"/>
                <w:highlight w:val="none"/>
              </w:rPr>
              <w:t>1.1%</w:t>
            </w:r>
          </w:p>
        </w:tc>
        <w:tc>
          <w:tcPr>
            <w:tcW w:w="2160" w:type="dxa"/>
            <w:vAlign w:val="center"/>
          </w:tcPr>
          <w:p w14:paraId="62E55C0C">
            <w:pPr>
              <w:tabs>
                <w:tab w:val="left" w:pos="0"/>
              </w:tabs>
              <w:spacing w:line="360" w:lineRule="auto"/>
              <w:jc w:val="center"/>
              <w:rPr>
                <w:color w:val="auto"/>
                <w:spacing w:val="20"/>
                <w:sz w:val="24"/>
                <w:highlight w:val="none"/>
              </w:rPr>
            </w:pPr>
            <w:r>
              <w:rPr>
                <w:color w:val="auto"/>
                <w:spacing w:val="20"/>
                <w:sz w:val="24"/>
                <w:highlight w:val="none"/>
              </w:rPr>
              <w:t>0.8%</w:t>
            </w:r>
          </w:p>
        </w:tc>
        <w:tc>
          <w:tcPr>
            <w:tcW w:w="2340" w:type="dxa"/>
            <w:vAlign w:val="center"/>
          </w:tcPr>
          <w:p w14:paraId="4245DD26">
            <w:pPr>
              <w:tabs>
                <w:tab w:val="left" w:pos="0"/>
              </w:tabs>
              <w:spacing w:line="360" w:lineRule="auto"/>
              <w:jc w:val="center"/>
              <w:rPr>
                <w:color w:val="auto"/>
                <w:spacing w:val="20"/>
                <w:sz w:val="24"/>
                <w:highlight w:val="none"/>
              </w:rPr>
            </w:pPr>
            <w:r>
              <w:rPr>
                <w:color w:val="auto"/>
                <w:spacing w:val="20"/>
                <w:sz w:val="24"/>
                <w:highlight w:val="none"/>
              </w:rPr>
              <w:t>0.7%</w:t>
            </w:r>
          </w:p>
        </w:tc>
      </w:tr>
      <w:tr w14:paraId="021FFF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010D71CF">
            <w:pPr>
              <w:tabs>
                <w:tab w:val="left" w:pos="0"/>
              </w:tabs>
              <w:spacing w:line="360" w:lineRule="auto"/>
              <w:jc w:val="center"/>
              <w:rPr>
                <w:color w:val="auto"/>
                <w:spacing w:val="20"/>
                <w:sz w:val="24"/>
                <w:highlight w:val="none"/>
              </w:rPr>
            </w:pPr>
            <w:r>
              <w:rPr>
                <w:color w:val="auto"/>
                <w:spacing w:val="20"/>
                <w:sz w:val="24"/>
                <w:highlight w:val="none"/>
              </w:rPr>
              <w:t>500-1000</w:t>
            </w:r>
          </w:p>
        </w:tc>
        <w:tc>
          <w:tcPr>
            <w:tcW w:w="2340" w:type="dxa"/>
            <w:vAlign w:val="center"/>
          </w:tcPr>
          <w:p w14:paraId="30B22A67">
            <w:pPr>
              <w:tabs>
                <w:tab w:val="left" w:pos="0"/>
              </w:tabs>
              <w:spacing w:line="360" w:lineRule="auto"/>
              <w:jc w:val="center"/>
              <w:rPr>
                <w:color w:val="auto"/>
                <w:spacing w:val="20"/>
                <w:sz w:val="24"/>
                <w:highlight w:val="none"/>
              </w:rPr>
            </w:pPr>
            <w:r>
              <w:rPr>
                <w:color w:val="auto"/>
                <w:spacing w:val="20"/>
                <w:sz w:val="24"/>
                <w:highlight w:val="none"/>
              </w:rPr>
              <w:t>0.8%</w:t>
            </w:r>
          </w:p>
        </w:tc>
        <w:tc>
          <w:tcPr>
            <w:tcW w:w="2160" w:type="dxa"/>
            <w:vAlign w:val="center"/>
          </w:tcPr>
          <w:p w14:paraId="4F2D6C3A">
            <w:pPr>
              <w:tabs>
                <w:tab w:val="left" w:pos="0"/>
              </w:tabs>
              <w:spacing w:line="360" w:lineRule="auto"/>
              <w:jc w:val="center"/>
              <w:rPr>
                <w:color w:val="auto"/>
                <w:spacing w:val="20"/>
                <w:sz w:val="24"/>
                <w:highlight w:val="none"/>
              </w:rPr>
            </w:pPr>
            <w:r>
              <w:rPr>
                <w:color w:val="auto"/>
                <w:spacing w:val="20"/>
                <w:sz w:val="24"/>
                <w:highlight w:val="none"/>
              </w:rPr>
              <w:t>0.45%</w:t>
            </w:r>
          </w:p>
        </w:tc>
        <w:tc>
          <w:tcPr>
            <w:tcW w:w="2340" w:type="dxa"/>
            <w:vAlign w:val="center"/>
          </w:tcPr>
          <w:p w14:paraId="707CCB2F">
            <w:pPr>
              <w:tabs>
                <w:tab w:val="left" w:pos="0"/>
              </w:tabs>
              <w:spacing w:line="360" w:lineRule="auto"/>
              <w:jc w:val="center"/>
              <w:rPr>
                <w:color w:val="auto"/>
                <w:spacing w:val="20"/>
                <w:sz w:val="24"/>
                <w:highlight w:val="none"/>
              </w:rPr>
            </w:pPr>
            <w:r>
              <w:rPr>
                <w:color w:val="auto"/>
                <w:spacing w:val="20"/>
                <w:sz w:val="24"/>
                <w:highlight w:val="none"/>
              </w:rPr>
              <w:t>0.55%</w:t>
            </w:r>
          </w:p>
        </w:tc>
      </w:tr>
      <w:tr w14:paraId="3C7DC6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1EEF86B3">
            <w:pPr>
              <w:tabs>
                <w:tab w:val="left" w:pos="0"/>
              </w:tabs>
              <w:spacing w:line="360" w:lineRule="auto"/>
              <w:jc w:val="center"/>
              <w:rPr>
                <w:color w:val="auto"/>
                <w:spacing w:val="20"/>
                <w:sz w:val="24"/>
                <w:highlight w:val="none"/>
              </w:rPr>
            </w:pPr>
            <w:r>
              <w:rPr>
                <w:color w:val="auto"/>
                <w:spacing w:val="20"/>
                <w:sz w:val="24"/>
                <w:highlight w:val="none"/>
              </w:rPr>
              <w:t>1000-5000</w:t>
            </w:r>
          </w:p>
        </w:tc>
        <w:tc>
          <w:tcPr>
            <w:tcW w:w="2340" w:type="dxa"/>
            <w:vAlign w:val="center"/>
          </w:tcPr>
          <w:p w14:paraId="72494FA3">
            <w:pPr>
              <w:tabs>
                <w:tab w:val="left" w:pos="0"/>
              </w:tabs>
              <w:spacing w:line="360" w:lineRule="auto"/>
              <w:jc w:val="center"/>
              <w:rPr>
                <w:color w:val="auto"/>
                <w:spacing w:val="20"/>
                <w:sz w:val="24"/>
                <w:highlight w:val="none"/>
              </w:rPr>
            </w:pPr>
            <w:r>
              <w:rPr>
                <w:color w:val="auto"/>
                <w:spacing w:val="20"/>
                <w:sz w:val="24"/>
                <w:highlight w:val="none"/>
              </w:rPr>
              <w:t>0.5%</w:t>
            </w:r>
          </w:p>
        </w:tc>
        <w:tc>
          <w:tcPr>
            <w:tcW w:w="2160" w:type="dxa"/>
            <w:vAlign w:val="center"/>
          </w:tcPr>
          <w:p w14:paraId="5C2663E1">
            <w:pPr>
              <w:tabs>
                <w:tab w:val="left" w:pos="0"/>
              </w:tabs>
              <w:spacing w:line="360" w:lineRule="auto"/>
              <w:jc w:val="center"/>
              <w:rPr>
                <w:color w:val="auto"/>
                <w:spacing w:val="20"/>
                <w:sz w:val="24"/>
                <w:highlight w:val="none"/>
              </w:rPr>
            </w:pPr>
            <w:r>
              <w:rPr>
                <w:color w:val="auto"/>
                <w:spacing w:val="20"/>
                <w:sz w:val="24"/>
                <w:highlight w:val="none"/>
              </w:rPr>
              <w:t>0.25%</w:t>
            </w:r>
          </w:p>
        </w:tc>
        <w:tc>
          <w:tcPr>
            <w:tcW w:w="2340" w:type="dxa"/>
            <w:vAlign w:val="center"/>
          </w:tcPr>
          <w:p w14:paraId="480E971D">
            <w:pPr>
              <w:tabs>
                <w:tab w:val="left" w:pos="0"/>
              </w:tabs>
              <w:spacing w:line="360" w:lineRule="auto"/>
              <w:jc w:val="center"/>
              <w:rPr>
                <w:color w:val="auto"/>
                <w:spacing w:val="20"/>
                <w:sz w:val="24"/>
                <w:highlight w:val="none"/>
              </w:rPr>
            </w:pPr>
            <w:r>
              <w:rPr>
                <w:color w:val="auto"/>
                <w:spacing w:val="20"/>
                <w:sz w:val="24"/>
                <w:highlight w:val="none"/>
              </w:rPr>
              <w:t>0.35%</w:t>
            </w:r>
          </w:p>
        </w:tc>
      </w:tr>
      <w:tr w14:paraId="7808A7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2D2C571B">
            <w:pPr>
              <w:tabs>
                <w:tab w:val="left" w:pos="0"/>
              </w:tabs>
              <w:spacing w:line="360" w:lineRule="auto"/>
              <w:jc w:val="center"/>
              <w:rPr>
                <w:color w:val="auto"/>
                <w:spacing w:val="20"/>
                <w:sz w:val="24"/>
                <w:highlight w:val="none"/>
              </w:rPr>
            </w:pPr>
            <w:r>
              <w:rPr>
                <w:color w:val="auto"/>
                <w:spacing w:val="20"/>
                <w:sz w:val="24"/>
                <w:highlight w:val="none"/>
              </w:rPr>
              <w:t>5000-10000</w:t>
            </w:r>
          </w:p>
        </w:tc>
        <w:tc>
          <w:tcPr>
            <w:tcW w:w="2340" w:type="dxa"/>
            <w:vAlign w:val="center"/>
          </w:tcPr>
          <w:p w14:paraId="53428897">
            <w:pPr>
              <w:tabs>
                <w:tab w:val="left" w:pos="0"/>
              </w:tabs>
              <w:spacing w:line="360" w:lineRule="auto"/>
              <w:jc w:val="center"/>
              <w:rPr>
                <w:color w:val="auto"/>
                <w:spacing w:val="20"/>
                <w:sz w:val="24"/>
                <w:highlight w:val="none"/>
              </w:rPr>
            </w:pPr>
            <w:r>
              <w:rPr>
                <w:color w:val="auto"/>
                <w:spacing w:val="20"/>
                <w:sz w:val="24"/>
                <w:highlight w:val="none"/>
              </w:rPr>
              <w:t>0.25%</w:t>
            </w:r>
          </w:p>
        </w:tc>
        <w:tc>
          <w:tcPr>
            <w:tcW w:w="2160" w:type="dxa"/>
            <w:vAlign w:val="center"/>
          </w:tcPr>
          <w:p w14:paraId="6A3C08CE">
            <w:pPr>
              <w:tabs>
                <w:tab w:val="left" w:pos="0"/>
              </w:tabs>
              <w:spacing w:line="360" w:lineRule="auto"/>
              <w:jc w:val="center"/>
              <w:rPr>
                <w:color w:val="auto"/>
                <w:spacing w:val="20"/>
                <w:sz w:val="24"/>
                <w:highlight w:val="none"/>
              </w:rPr>
            </w:pPr>
            <w:r>
              <w:rPr>
                <w:color w:val="auto"/>
                <w:spacing w:val="20"/>
                <w:sz w:val="24"/>
                <w:highlight w:val="none"/>
              </w:rPr>
              <w:t>0.1%</w:t>
            </w:r>
          </w:p>
        </w:tc>
        <w:tc>
          <w:tcPr>
            <w:tcW w:w="2340" w:type="dxa"/>
            <w:vAlign w:val="center"/>
          </w:tcPr>
          <w:p w14:paraId="19819C53">
            <w:pPr>
              <w:tabs>
                <w:tab w:val="left" w:pos="0"/>
              </w:tabs>
              <w:spacing w:line="360" w:lineRule="auto"/>
              <w:jc w:val="center"/>
              <w:rPr>
                <w:color w:val="auto"/>
                <w:spacing w:val="20"/>
                <w:sz w:val="24"/>
                <w:highlight w:val="none"/>
              </w:rPr>
            </w:pPr>
            <w:r>
              <w:rPr>
                <w:color w:val="auto"/>
                <w:spacing w:val="20"/>
                <w:sz w:val="24"/>
                <w:highlight w:val="none"/>
              </w:rPr>
              <w:t>0.2%</w:t>
            </w:r>
          </w:p>
        </w:tc>
      </w:tr>
      <w:tr w14:paraId="72E7C1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4BF030A6">
            <w:pPr>
              <w:tabs>
                <w:tab w:val="left" w:pos="0"/>
              </w:tabs>
              <w:spacing w:line="360" w:lineRule="auto"/>
              <w:jc w:val="center"/>
              <w:rPr>
                <w:color w:val="auto"/>
                <w:spacing w:val="20"/>
                <w:sz w:val="24"/>
                <w:highlight w:val="none"/>
              </w:rPr>
            </w:pPr>
            <w:r>
              <w:rPr>
                <w:color w:val="auto"/>
                <w:spacing w:val="20"/>
                <w:sz w:val="24"/>
                <w:highlight w:val="none"/>
              </w:rPr>
              <w:t>10000-100000</w:t>
            </w:r>
          </w:p>
        </w:tc>
        <w:tc>
          <w:tcPr>
            <w:tcW w:w="2340" w:type="dxa"/>
            <w:vAlign w:val="center"/>
          </w:tcPr>
          <w:p w14:paraId="5122ED5E">
            <w:pPr>
              <w:tabs>
                <w:tab w:val="left" w:pos="0"/>
              </w:tabs>
              <w:spacing w:line="360" w:lineRule="auto"/>
              <w:jc w:val="center"/>
              <w:rPr>
                <w:color w:val="auto"/>
                <w:spacing w:val="20"/>
                <w:sz w:val="24"/>
                <w:highlight w:val="none"/>
              </w:rPr>
            </w:pPr>
            <w:r>
              <w:rPr>
                <w:color w:val="auto"/>
                <w:spacing w:val="20"/>
                <w:sz w:val="24"/>
                <w:highlight w:val="none"/>
              </w:rPr>
              <w:t>0.05%</w:t>
            </w:r>
          </w:p>
        </w:tc>
        <w:tc>
          <w:tcPr>
            <w:tcW w:w="2160" w:type="dxa"/>
            <w:vAlign w:val="center"/>
          </w:tcPr>
          <w:p w14:paraId="4B9AE676">
            <w:pPr>
              <w:tabs>
                <w:tab w:val="left" w:pos="0"/>
              </w:tabs>
              <w:spacing w:line="360" w:lineRule="auto"/>
              <w:jc w:val="center"/>
              <w:rPr>
                <w:color w:val="auto"/>
                <w:spacing w:val="20"/>
                <w:sz w:val="24"/>
                <w:highlight w:val="none"/>
              </w:rPr>
            </w:pPr>
            <w:r>
              <w:rPr>
                <w:color w:val="auto"/>
                <w:spacing w:val="20"/>
                <w:sz w:val="24"/>
                <w:highlight w:val="none"/>
              </w:rPr>
              <w:t>0.05%</w:t>
            </w:r>
          </w:p>
        </w:tc>
        <w:tc>
          <w:tcPr>
            <w:tcW w:w="2340" w:type="dxa"/>
            <w:vAlign w:val="center"/>
          </w:tcPr>
          <w:p w14:paraId="53AB4023">
            <w:pPr>
              <w:tabs>
                <w:tab w:val="left" w:pos="0"/>
              </w:tabs>
              <w:spacing w:line="360" w:lineRule="auto"/>
              <w:jc w:val="center"/>
              <w:rPr>
                <w:color w:val="auto"/>
                <w:spacing w:val="20"/>
                <w:sz w:val="24"/>
                <w:highlight w:val="none"/>
              </w:rPr>
            </w:pPr>
            <w:r>
              <w:rPr>
                <w:color w:val="auto"/>
                <w:spacing w:val="20"/>
                <w:sz w:val="24"/>
                <w:highlight w:val="none"/>
              </w:rPr>
              <w:t>0.05%</w:t>
            </w:r>
          </w:p>
        </w:tc>
      </w:tr>
      <w:tr w14:paraId="3E3AE3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2628" w:type="dxa"/>
            <w:vAlign w:val="center"/>
          </w:tcPr>
          <w:p w14:paraId="0A7F90D6">
            <w:pPr>
              <w:tabs>
                <w:tab w:val="left" w:pos="0"/>
              </w:tabs>
              <w:spacing w:line="360" w:lineRule="auto"/>
              <w:jc w:val="center"/>
              <w:rPr>
                <w:color w:val="auto"/>
                <w:spacing w:val="20"/>
                <w:sz w:val="24"/>
                <w:highlight w:val="none"/>
              </w:rPr>
            </w:pPr>
            <w:r>
              <w:rPr>
                <w:color w:val="auto"/>
                <w:spacing w:val="20"/>
                <w:sz w:val="24"/>
                <w:highlight w:val="none"/>
              </w:rPr>
              <w:t>1000000以上</w:t>
            </w:r>
          </w:p>
        </w:tc>
        <w:tc>
          <w:tcPr>
            <w:tcW w:w="2340" w:type="dxa"/>
            <w:vAlign w:val="center"/>
          </w:tcPr>
          <w:p w14:paraId="4B23C35E">
            <w:pPr>
              <w:tabs>
                <w:tab w:val="left" w:pos="0"/>
              </w:tabs>
              <w:spacing w:line="360" w:lineRule="auto"/>
              <w:jc w:val="center"/>
              <w:rPr>
                <w:color w:val="auto"/>
                <w:spacing w:val="20"/>
                <w:sz w:val="24"/>
                <w:highlight w:val="none"/>
              </w:rPr>
            </w:pPr>
            <w:r>
              <w:rPr>
                <w:color w:val="auto"/>
                <w:spacing w:val="20"/>
                <w:sz w:val="24"/>
                <w:highlight w:val="none"/>
              </w:rPr>
              <w:t>0.01%</w:t>
            </w:r>
          </w:p>
        </w:tc>
        <w:tc>
          <w:tcPr>
            <w:tcW w:w="2160" w:type="dxa"/>
            <w:vAlign w:val="center"/>
          </w:tcPr>
          <w:p w14:paraId="5DE663EF">
            <w:pPr>
              <w:tabs>
                <w:tab w:val="left" w:pos="0"/>
              </w:tabs>
              <w:spacing w:line="360" w:lineRule="auto"/>
              <w:jc w:val="center"/>
              <w:rPr>
                <w:color w:val="auto"/>
                <w:spacing w:val="20"/>
                <w:sz w:val="24"/>
                <w:highlight w:val="none"/>
              </w:rPr>
            </w:pPr>
            <w:r>
              <w:rPr>
                <w:color w:val="auto"/>
                <w:spacing w:val="20"/>
                <w:sz w:val="24"/>
                <w:highlight w:val="none"/>
              </w:rPr>
              <w:t>0.01%</w:t>
            </w:r>
          </w:p>
        </w:tc>
        <w:tc>
          <w:tcPr>
            <w:tcW w:w="2340" w:type="dxa"/>
            <w:vAlign w:val="center"/>
          </w:tcPr>
          <w:p w14:paraId="6F725DC1">
            <w:pPr>
              <w:tabs>
                <w:tab w:val="left" w:pos="0"/>
              </w:tabs>
              <w:spacing w:line="360" w:lineRule="auto"/>
              <w:jc w:val="center"/>
              <w:rPr>
                <w:color w:val="auto"/>
                <w:spacing w:val="20"/>
                <w:sz w:val="24"/>
                <w:highlight w:val="none"/>
              </w:rPr>
            </w:pPr>
            <w:r>
              <w:rPr>
                <w:color w:val="auto"/>
                <w:spacing w:val="20"/>
                <w:sz w:val="24"/>
                <w:highlight w:val="none"/>
              </w:rPr>
              <w:t>0.01%</w:t>
            </w:r>
          </w:p>
        </w:tc>
      </w:tr>
    </w:tbl>
    <w:p w14:paraId="3B16134B">
      <w:pPr>
        <w:spacing w:line="360" w:lineRule="auto"/>
        <w:rPr>
          <w:rFonts w:hint="default" w:ascii="仿宋" w:hAnsi="仿宋" w:eastAsia="仿宋"/>
          <w:color w:val="auto"/>
          <w:sz w:val="24"/>
          <w:highlight w:val="none"/>
          <w:lang w:val="en-US" w:eastAsia="zh-CN"/>
        </w:rPr>
      </w:pPr>
      <w:r>
        <w:rPr>
          <w:rFonts w:hint="eastAsia" w:ascii="仿宋" w:hAnsi="仿宋" w:eastAsia="仿宋"/>
          <w:b/>
          <w:color w:val="auto"/>
          <w:sz w:val="32"/>
          <w:szCs w:val="32"/>
          <w:highlight w:val="none"/>
          <w:lang w:val="en-US" w:eastAsia="zh-CN"/>
        </w:rPr>
        <w:t xml:space="preserve">  </w:t>
      </w:r>
    </w:p>
    <w:p w14:paraId="26B5F1D7">
      <w:pPr>
        <w:spacing w:line="360" w:lineRule="auto"/>
        <w:ind w:firstLine="392" w:firstLineChars="140"/>
        <w:jc w:val="center"/>
        <w:rPr>
          <w:rFonts w:hint="eastAsia" w:eastAsia="仿宋_GB2312"/>
          <w:color w:val="auto"/>
          <w:sz w:val="28"/>
          <w:highlight w:val="none"/>
        </w:rPr>
      </w:pPr>
      <w:r>
        <w:rPr>
          <w:rFonts w:hint="eastAsia" w:eastAsia="仿宋_GB2312"/>
          <w:color w:val="auto"/>
          <w:sz w:val="28"/>
          <w:highlight w:val="none"/>
        </w:rPr>
        <w:t>浙江省建设工程造价咨询服务基准收费标准</w:t>
      </w:r>
    </w:p>
    <w:p w14:paraId="6ABD1CCD">
      <w:pPr>
        <w:spacing w:line="360" w:lineRule="auto"/>
        <w:jc w:val="right"/>
        <w:rPr>
          <w:rFonts w:hint="eastAsia" w:ascii="仿宋_GB2312" w:hAnsi="宋体" w:eastAsia="仿宋_GB2312"/>
          <w:szCs w:val="21"/>
          <w:highlight w:val="none"/>
        </w:rPr>
      </w:pPr>
      <w:r>
        <w:rPr>
          <w:rFonts w:hint="eastAsia" w:ascii="仿宋_GB2312" w:hAnsi="宋体" w:eastAsia="仿宋_GB2312"/>
          <w:szCs w:val="21"/>
          <w:highlight w:val="none"/>
        </w:rPr>
        <w:t>费率：‰</w:t>
      </w:r>
    </w:p>
    <w:tbl>
      <w:tblPr>
        <w:tblStyle w:val="11"/>
        <w:tblW w:w="10578" w:type="dxa"/>
        <w:jc w:val="center"/>
        <w:tblLayout w:type="fixed"/>
        <w:tblCellMar>
          <w:top w:w="0" w:type="dxa"/>
          <w:left w:w="0" w:type="dxa"/>
          <w:bottom w:w="0" w:type="dxa"/>
          <w:right w:w="0" w:type="dxa"/>
        </w:tblCellMar>
      </w:tblPr>
      <w:tblGrid>
        <w:gridCol w:w="515"/>
        <w:gridCol w:w="592"/>
        <w:gridCol w:w="2143"/>
        <w:gridCol w:w="1734"/>
        <w:gridCol w:w="814"/>
        <w:gridCol w:w="782"/>
        <w:gridCol w:w="798"/>
        <w:gridCol w:w="799"/>
        <w:gridCol w:w="798"/>
        <w:gridCol w:w="802"/>
        <w:gridCol w:w="801"/>
      </w:tblGrid>
      <w:tr w14:paraId="07CE663B">
        <w:tblPrEx>
          <w:tblCellMar>
            <w:top w:w="0" w:type="dxa"/>
            <w:left w:w="0" w:type="dxa"/>
            <w:bottom w:w="0" w:type="dxa"/>
            <w:right w:w="0" w:type="dxa"/>
          </w:tblCellMar>
        </w:tblPrEx>
        <w:trPr>
          <w:trHeight w:val="51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14:paraId="5551348E">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b/>
                <w:bCs/>
                <w:color w:val="000000"/>
                <w:kern w:val="0"/>
                <w:szCs w:val="21"/>
                <w:highlight w:val="none"/>
              </w:rPr>
              <w:t>序号</w:t>
            </w:r>
          </w:p>
        </w:tc>
        <w:tc>
          <w:tcPr>
            <w:tcW w:w="273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21E65F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b/>
                <w:bCs/>
                <w:color w:val="000000"/>
                <w:kern w:val="0"/>
                <w:szCs w:val="21"/>
                <w:highlight w:val="none"/>
              </w:rPr>
              <w:t>咨询项目</w:t>
            </w:r>
          </w:p>
        </w:tc>
        <w:tc>
          <w:tcPr>
            <w:tcW w:w="1734" w:type="dxa"/>
            <w:vMerge w:val="restart"/>
            <w:tcBorders>
              <w:top w:val="single" w:color="auto" w:sz="4" w:space="0"/>
              <w:left w:val="single" w:color="auto" w:sz="4" w:space="0"/>
              <w:bottom w:val="single" w:color="auto" w:sz="4" w:space="0"/>
              <w:right w:val="single" w:color="auto" w:sz="4" w:space="0"/>
            </w:tcBorders>
            <w:noWrap w:val="0"/>
            <w:vAlign w:val="center"/>
          </w:tcPr>
          <w:p w14:paraId="20CF468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b/>
                <w:bCs/>
                <w:color w:val="000000"/>
                <w:kern w:val="0"/>
                <w:szCs w:val="21"/>
                <w:highlight w:val="none"/>
              </w:rPr>
              <w:t>收费基数</w:t>
            </w:r>
          </w:p>
        </w:tc>
        <w:tc>
          <w:tcPr>
            <w:tcW w:w="5594" w:type="dxa"/>
            <w:gridSpan w:val="7"/>
            <w:tcBorders>
              <w:top w:val="single" w:color="auto" w:sz="4" w:space="0"/>
              <w:left w:val="nil"/>
              <w:bottom w:val="single" w:color="auto" w:sz="4" w:space="0"/>
              <w:right w:val="single" w:color="auto" w:sz="4" w:space="0"/>
            </w:tcBorders>
            <w:noWrap w:val="0"/>
            <w:vAlign w:val="center"/>
          </w:tcPr>
          <w:p w14:paraId="07C4D00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b/>
                <w:bCs/>
                <w:color w:val="000000"/>
                <w:kern w:val="0"/>
                <w:szCs w:val="21"/>
                <w:highlight w:val="none"/>
              </w:rPr>
              <w:t>分档累进计费标准</w:t>
            </w:r>
          </w:p>
        </w:tc>
      </w:tr>
      <w:tr w14:paraId="388E4FF8">
        <w:tblPrEx>
          <w:tblCellMar>
            <w:top w:w="0" w:type="dxa"/>
            <w:left w:w="0" w:type="dxa"/>
            <w:bottom w:w="0" w:type="dxa"/>
            <w:right w:w="0" w:type="dxa"/>
          </w:tblCellMar>
        </w:tblPrEx>
        <w:trPr>
          <w:trHeight w:val="51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14:paraId="1FACC239">
            <w:pPr>
              <w:widowControl/>
              <w:spacing w:line="240" w:lineRule="exact"/>
              <w:jc w:val="left"/>
              <w:rPr>
                <w:rFonts w:hint="eastAsia" w:ascii="仿宋_GB2312" w:hAnsi="宋体" w:eastAsia="仿宋_GB2312" w:cs="宋体"/>
                <w:color w:val="000000"/>
                <w:kern w:val="0"/>
                <w:szCs w:val="21"/>
                <w:highlight w:val="none"/>
              </w:rPr>
            </w:pPr>
          </w:p>
        </w:tc>
        <w:tc>
          <w:tcPr>
            <w:tcW w:w="27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3FEAD2">
            <w:pPr>
              <w:widowControl/>
              <w:spacing w:line="240" w:lineRule="exact"/>
              <w:jc w:val="left"/>
              <w:rPr>
                <w:rFonts w:hint="eastAsia" w:ascii="仿宋_GB2312" w:hAnsi="宋体" w:eastAsia="仿宋_GB2312" w:cs="宋体"/>
                <w:color w:val="000000"/>
                <w:kern w:val="0"/>
                <w:szCs w:val="21"/>
                <w:highlight w:val="none"/>
              </w:rPr>
            </w:pPr>
          </w:p>
        </w:tc>
        <w:tc>
          <w:tcPr>
            <w:tcW w:w="1734" w:type="dxa"/>
            <w:vMerge w:val="continue"/>
            <w:tcBorders>
              <w:top w:val="single" w:color="auto" w:sz="4" w:space="0"/>
              <w:left w:val="single" w:color="auto" w:sz="4" w:space="0"/>
              <w:bottom w:val="single" w:color="auto" w:sz="4" w:space="0"/>
              <w:right w:val="single" w:color="auto" w:sz="4" w:space="0"/>
            </w:tcBorders>
            <w:noWrap w:val="0"/>
            <w:vAlign w:val="center"/>
          </w:tcPr>
          <w:p w14:paraId="08EB7FA3">
            <w:pPr>
              <w:widowControl/>
              <w:spacing w:line="240" w:lineRule="exact"/>
              <w:jc w:val="left"/>
              <w:rPr>
                <w:rFonts w:hint="eastAsia" w:ascii="仿宋_GB2312" w:hAnsi="宋体" w:eastAsia="仿宋_GB2312" w:cs="宋体"/>
                <w:color w:val="000000"/>
                <w:kern w:val="0"/>
                <w:szCs w:val="21"/>
                <w:highlight w:val="none"/>
              </w:rPr>
            </w:pPr>
          </w:p>
        </w:tc>
        <w:tc>
          <w:tcPr>
            <w:tcW w:w="814" w:type="dxa"/>
            <w:tcBorders>
              <w:top w:val="nil"/>
              <w:left w:val="nil"/>
              <w:bottom w:val="single" w:color="auto" w:sz="4" w:space="0"/>
              <w:right w:val="single" w:color="auto" w:sz="4" w:space="0"/>
            </w:tcBorders>
            <w:noWrap w:val="0"/>
            <w:vAlign w:val="center"/>
          </w:tcPr>
          <w:p w14:paraId="27A3472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100万元 以内</w:t>
            </w:r>
          </w:p>
        </w:tc>
        <w:tc>
          <w:tcPr>
            <w:tcW w:w="782" w:type="dxa"/>
            <w:tcBorders>
              <w:top w:val="nil"/>
              <w:left w:val="nil"/>
              <w:bottom w:val="single" w:color="auto" w:sz="4" w:space="0"/>
              <w:right w:val="single" w:color="auto" w:sz="4" w:space="0"/>
            </w:tcBorders>
            <w:noWrap w:val="0"/>
            <w:vAlign w:val="center"/>
          </w:tcPr>
          <w:p w14:paraId="02AFB1F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101-500万元</w:t>
            </w:r>
          </w:p>
        </w:tc>
        <w:tc>
          <w:tcPr>
            <w:tcW w:w="798" w:type="dxa"/>
            <w:tcBorders>
              <w:top w:val="nil"/>
              <w:left w:val="nil"/>
              <w:bottom w:val="single" w:color="auto" w:sz="4" w:space="0"/>
              <w:right w:val="single" w:color="auto" w:sz="4" w:space="0"/>
            </w:tcBorders>
            <w:noWrap w:val="0"/>
            <w:vAlign w:val="center"/>
          </w:tcPr>
          <w:p w14:paraId="6DC2965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501—1000万元</w:t>
            </w:r>
          </w:p>
        </w:tc>
        <w:tc>
          <w:tcPr>
            <w:tcW w:w="799" w:type="dxa"/>
            <w:tcBorders>
              <w:top w:val="nil"/>
              <w:left w:val="nil"/>
              <w:bottom w:val="single" w:color="auto" w:sz="4" w:space="0"/>
              <w:right w:val="single" w:color="auto" w:sz="4" w:space="0"/>
            </w:tcBorders>
            <w:noWrap w:val="0"/>
            <w:vAlign w:val="center"/>
          </w:tcPr>
          <w:p w14:paraId="687869FB">
            <w:pPr>
              <w:widowControl/>
              <w:spacing w:before="100" w:beforeAutospacing="1" w:after="100" w:afterAutospacing="1" w:line="240" w:lineRule="exact"/>
              <w:jc w:val="center"/>
              <w:rPr>
                <w:rFonts w:hint="eastAsia" w:ascii="仿宋_GB2312" w:hAnsi="宋体" w:eastAsia="仿宋_GB2312" w:cs="宋体"/>
                <w:color w:val="000000"/>
                <w:spacing w:val="-6"/>
                <w:kern w:val="0"/>
                <w:szCs w:val="21"/>
                <w:highlight w:val="none"/>
              </w:rPr>
            </w:pPr>
            <w:r>
              <w:rPr>
                <w:rFonts w:hint="eastAsia" w:ascii="仿宋_GB2312" w:hAnsi="宋体" w:eastAsia="仿宋_GB2312" w:cs="宋体"/>
                <w:color w:val="000000"/>
                <w:spacing w:val="-6"/>
                <w:kern w:val="0"/>
                <w:szCs w:val="21"/>
                <w:highlight w:val="none"/>
              </w:rPr>
              <w:t xml:space="preserve">1001—2000万元 </w:t>
            </w:r>
          </w:p>
        </w:tc>
        <w:tc>
          <w:tcPr>
            <w:tcW w:w="798" w:type="dxa"/>
            <w:tcBorders>
              <w:top w:val="nil"/>
              <w:left w:val="nil"/>
              <w:bottom w:val="single" w:color="auto" w:sz="4" w:space="0"/>
              <w:right w:val="single" w:color="auto" w:sz="4" w:space="0"/>
            </w:tcBorders>
            <w:noWrap w:val="0"/>
            <w:vAlign w:val="center"/>
          </w:tcPr>
          <w:p w14:paraId="122A0345">
            <w:pPr>
              <w:widowControl/>
              <w:spacing w:before="100" w:beforeAutospacing="1" w:after="100" w:afterAutospacing="1" w:line="240" w:lineRule="exact"/>
              <w:jc w:val="center"/>
              <w:rPr>
                <w:rFonts w:hint="eastAsia" w:ascii="仿宋_GB2312" w:hAnsi="宋体" w:eastAsia="仿宋_GB2312" w:cs="宋体"/>
                <w:color w:val="000000"/>
                <w:spacing w:val="-6"/>
                <w:kern w:val="0"/>
                <w:szCs w:val="21"/>
                <w:highlight w:val="none"/>
              </w:rPr>
            </w:pPr>
            <w:r>
              <w:rPr>
                <w:rFonts w:hint="eastAsia" w:ascii="仿宋_GB2312" w:hAnsi="宋体" w:eastAsia="仿宋_GB2312" w:cs="宋体"/>
                <w:color w:val="000000"/>
                <w:spacing w:val="-6"/>
                <w:kern w:val="0"/>
                <w:szCs w:val="21"/>
                <w:highlight w:val="none"/>
              </w:rPr>
              <w:t xml:space="preserve">2001—5000万元 </w:t>
            </w:r>
          </w:p>
        </w:tc>
        <w:tc>
          <w:tcPr>
            <w:tcW w:w="802" w:type="dxa"/>
            <w:tcBorders>
              <w:top w:val="nil"/>
              <w:left w:val="nil"/>
              <w:bottom w:val="single" w:color="auto" w:sz="4" w:space="0"/>
              <w:right w:val="single" w:color="auto" w:sz="4" w:space="0"/>
            </w:tcBorders>
            <w:noWrap w:val="0"/>
            <w:vAlign w:val="center"/>
          </w:tcPr>
          <w:p w14:paraId="7D121F8C">
            <w:pPr>
              <w:widowControl/>
              <w:spacing w:before="100" w:beforeAutospacing="1" w:after="100" w:afterAutospacing="1" w:line="240" w:lineRule="exact"/>
              <w:jc w:val="center"/>
              <w:rPr>
                <w:rFonts w:hint="eastAsia" w:ascii="仿宋_GB2312" w:hAnsi="宋体" w:eastAsia="仿宋_GB2312" w:cs="宋体"/>
                <w:color w:val="000000"/>
                <w:spacing w:val="-6"/>
                <w:kern w:val="0"/>
                <w:szCs w:val="21"/>
                <w:highlight w:val="none"/>
              </w:rPr>
            </w:pPr>
            <w:r>
              <w:rPr>
                <w:rFonts w:hint="eastAsia" w:ascii="仿宋_GB2312" w:hAnsi="宋体" w:eastAsia="仿宋_GB2312" w:cs="宋体"/>
                <w:color w:val="000000"/>
                <w:spacing w:val="-6"/>
                <w:kern w:val="0"/>
                <w:szCs w:val="21"/>
                <w:highlight w:val="none"/>
              </w:rPr>
              <w:t xml:space="preserve">5001-10000万元 </w:t>
            </w:r>
          </w:p>
        </w:tc>
        <w:tc>
          <w:tcPr>
            <w:tcW w:w="801" w:type="dxa"/>
            <w:tcBorders>
              <w:top w:val="nil"/>
              <w:left w:val="nil"/>
              <w:bottom w:val="single" w:color="auto" w:sz="4" w:space="0"/>
              <w:right w:val="single" w:color="auto" w:sz="4" w:space="0"/>
            </w:tcBorders>
            <w:noWrap w:val="0"/>
            <w:vAlign w:val="center"/>
          </w:tcPr>
          <w:p w14:paraId="160ECAC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10000万元以上</w:t>
            </w:r>
          </w:p>
        </w:tc>
      </w:tr>
      <w:tr w14:paraId="08E3D9E9">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7706BE4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1 </w:t>
            </w:r>
          </w:p>
        </w:tc>
        <w:tc>
          <w:tcPr>
            <w:tcW w:w="2735" w:type="dxa"/>
            <w:gridSpan w:val="2"/>
            <w:tcBorders>
              <w:top w:val="single" w:color="auto" w:sz="4" w:space="0"/>
              <w:left w:val="nil"/>
              <w:bottom w:val="single" w:color="auto" w:sz="4" w:space="0"/>
              <w:right w:val="single" w:color="auto" w:sz="4" w:space="0"/>
            </w:tcBorders>
            <w:noWrap w:val="0"/>
            <w:vAlign w:val="center"/>
          </w:tcPr>
          <w:p w14:paraId="10DD7FD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投资估算编制或审核</w:t>
            </w:r>
          </w:p>
        </w:tc>
        <w:tc>
          <w:tcPr>
            <w:tcW w:w="1734" w:type="dxa"/>
            <w:tcBorders>
              <w:top w:val="nil"/>
              <w:left w:val="nil"/>
              <w:bottom w:val="single" w:color="auto" w:sz="4" w:space="0"/>
              <w:right w:val="single" w:color="auto" w:sz="4" w:space="0"/>
            </w:tcBorders>
            <w:noWrap w:val="0"/>
            <w:vAlign w:val="center"/>
          </w:tcPr>
          <w:p w14:paraId="03C54ED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估算价</w:t>
            </w:r>
          </w:p>
        </w:tc>
        <w:tc>
          <w:tcPr>
            <w:tcW w:w="814" w:type="dxa"/>
            <w:tcBorders>
              <w:top w:val="nil"/>
              <w:left w:val="nil"/>
              <w:bottom w:val="single" w:color="auto" w:sz="4" w:space="0"/>
              <w:right w:val="single" w:color="auto" w:sz="4" w:space="0"/>
            </w:tcBorders>
            <w:noWrap w:val="0"/>
            <w:vAlign w:val="center"/>
          </w:tcPr>
          <w:p w14:paraId="60CBB25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1.3</w:t>
            </w:r>
          </w:p>
        </w:tc>
        <w:tc>
          <w:tcPr>
            <w:tcW w:w="782" w:type="dxa"/>
            <w:tcBorders>
              <w:top w:val="nil"/>
              <w:left w:val="nil"/>
              <w:bottom w:val="single" w:color="auto" w:sz="4" w:space="0"/>
              <w:right w:val="single" w:color="auto" w:sz="4" w:space="0"/>
            </w:tcBorders>
            <w:noWrap w:val="0"/>
            <w:vAlign w:val="center"/>
          </w:tcPr>
          <w:p w14:paraId="60E4C76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1.1</w:t>
            </w:r>
          </w:p>
        </w:tc>
        <w:tc>
          <w:tcPr>
            <w:tcW w:w="798" w:type="dxa"/>
            <w:tcBorders>
              <w:top w:val="nil"/>
              <w:left w:val="nil"/>
              <w:bottom w:val="single" w:color="auto" w:sz="4" w:space="0"/>
              <w:right w:val="single" w:color="auto" w:sz="4" w:space="0"/>
            </w:tcBorders>
            <w:noWrap w:val="0"/>
            <w:vAlign w:val="center"/>
          </w:tcPr>
          <w:p w14:paraId="713BA23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0.9</w:t>
            </w:r>
          </w:p>
        </w:tc>
        <w:tc>
          <w:tcPr>
            <w:tcW w:w="799" w:type="dxa"/>
            <w:tcBorders>
              <w:top w:val="nil"/>
              <w:left w:val="nil"/>
              <w:bottom w:val="single" w:color="auto" w:sz="4" w:space="0"/>
              <w:right w:val="single" w:color="auto" w:sz="4" w:space="0"/>
            </w:tcBorders>
            <w:noWrap w:val="0"/>
            <w:vAlign w:val="center"/>
          </w:tcPr>
          <w:p w14:paraId="074C866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0.7</w:t>
            </w:r>
          </w:p>
        </w:tc>
        <w:tc>
          <w:tcPr>
            <w:tcW w:w="798" w:type="dxa"/>
            <w:tcBorders>
              <w:top w:val="nil"/>
              <w:left w:val="nil"/>
              <w:bottom w:val="single" w:color="auto" w:sz="4" w:space="0"/>
              <w:right w:val="single" w:color="auto" w:sz="4" w:space="0"/>
            </w:tcBorders>
            <w:noWrap w:val="0"/>
            <w:vAlign w:val="center"/>
          </w:tcPr>
          <w:p w14:paraId="557F261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0.6</w:t>
            </w:r>
          </w:p>
        </w:tc>
        <w:tc>
          <w:tcPr>
            <w:tcW w:w="802" w:type="dxa"/>
            <w:tcBorders>
              <w:top w:val="single" w:color="auto" w:sz="4" w:space="0"/>
              <w:left w:val="nil"/>
              <w:bottom w:val="single" w:color="auto" w:sz="4" w:space="0"/>
              <w:right w:val="single" w:color="auto" w:sz="4" w:space="0"/>
            </w:tcBorders>
            <w:noWrap w:val="0"/>
            <w:vAlign w:val="center"/>
          </w:tcPr>
          <w:p w14:paraId="4D3D7CD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0.5</w:t>
            </w:r>
          </w:p>
        </w:tc>
        <w:tc>
          <w:tcPr>
            <w:tcW w:w="801" w:type="dxa"/>
            <w:tcBorders>
              <w:top w:val="single" w:color="auto" w:sz="4" w:space="0"/>
              <w:left w:val="nil"/>
              <w:bottom w:val="single" w:color="auto" w:sz="4" w:space="0"/>
              <w:right w:val="single" w:color="auto" w:sz="4" w:space="0"/>
            </w:tcBorders>
            <w:noWrap w:val="0"/>
            <w:vAlign w:val="center"/>
          </w:tcPr>
          <w:p w14:paraId="3D815F4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0.4</w:t>
            </w:r>
          </w:p>
        </w:tc>
      </w:tr>
      <w:tr w14:paraId="2BF72C64">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5B767A5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2 </w:t>
            </w:r>
          </w:p>
        </w:tc>
        <w:tc>
          <w:tcPr>
            <w:tcW w:w="2735" w:type="dxa"/>
            <w:gridSpan w:val="2"/>
            <w:tcBorders>
              <w:top w:val="single" w:color="auto" w:sz="4" w:space="0"/>
              <w:left w:val="nil"/>
              <w:bottom w:val="single" w:color="auto" w:sz="4" w:space="0"/>
              <w:right w:val="single" w:color="auto" w:sz="4" w:space="0"/>
            </w:tcBorders>
            <w:noWrap w:val="0"/>
            <w:vAlign w:val="center"/>
          </w:tcPr>
          <w:p w14:paraId="355E274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设计概算编制或审核</w:t>
            </w:r>
          </w:p>
        </w:tc>
        <w:tc>
          <w:tcPr>
            <w:tcW w:w="1734" w:type="dxa"/>
            <w:tcBorders>
              <w:top w:val="nil"/>
              <w:left w:val="nil"/>
              <w:bottom w:val="single" w:color="auto" w:sz="4" w:space="0"/>
              <w:right w:val="single" w:color="auto" w:sz="4" w:space="0"/>
            </w:tcBorders>
            <w:noWrap w:val="0"/>
            <w:vAlign w:val="center"/>
          </w:tcPr>
          <w:p w14:paraId="364C0B7E">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概算价</w:t>
            </w:r>
          </w:p>
        </w:tc>
        <w:tc>
          <w:tcPr>
            <w:tcW w:w="814" w:type="dxa"/>
            <w:tcBorders>
              <w:top w:val="nil"/>
              <w:left w:val="nil"/>
              <w:bottom w:val="single" w:color="auto" w:sz="4" w:space="0"/>
              <w:right w:val="single" w:color="auto" w:sz="4" w:space="0"/>
            </w:tcBorders>
            <w:noWrap w:val="0"/>
            <w:vAlign w:val="center"/>
          </w:tcPr>
          <w:p w14:paraId="0651594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1.7</w:t>
            </w:r>
          </w:p>
        </w:tc>
        <w:tc>
          <w:tcPr>
            <w:tcW w:w="782" w:type="dxa"/>
            <w:tcBorders>
              <w:top w:val="nil"/>
              <w:left w:val="nil"/>
              <w:bottom w:val="single" w:color="auto" w:sz="4" w:space="0"/>
              <w:right w:val="single" w:color="auto" w:sz="4" w:space="0"/>
            </w:tcBorders>
            <w:noWrap w:val="0"/>
            <w:vAlign w:val="center"/>
          </w:tcPr>
          <w:p w14:paraId="56B84CC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1.5</w:t>
            </w:r>
          </w:p>
        </w:tc>
        <w:tc>
          <w:tcPr>
            <w:tcW w:w="798" w:type="dxa"/>
            <w:tcBorders>
              <w:top w:val="nil"/>
              <w:left w:val="nil"/>
              <w:bottom w:val="single" w:color="auto" w:sz="4" w:space="0"/>
              <w:right w:val="single" w:color="auto" w:sz="4" w:space="0"/>
            </w:tcBorders>
            <w:noWrap w:val="0"/>
            <w:vAlign w:val="center"/>
          </w:tcPr>
          <w:p w14:paraId="5E7250E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1.3</w:t>
            </w:r>
          </w:p>
        </w:tc>
        <w:tc>
          <w:tcPr>
            <w:tcW w:w="799" w:type="dxa"/>
            <w:tcBorders>
              <w:top w:val="nil"/>
              <w:left w:val="nil"/>
              <w:bottom w:val="single" w:color="auto" w:sz="4" w:space="0"/>
              <w:right w:val="single" w:color="auto" w:sz="4" w:space="0"/>
            </w:tcBorders>
            <w:noWrap w:val="0"/>
            <w:vAlign w:val="center"/>
          </w:tcPr>
          <w:p w14:paraId="152BE45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1.1</w:t>
            </w:r>
          </w:p>
        </w:tc>
        <w:tc>
          <w:tcPr>
            <w:tcW w:w="798" w:type="dxa"/>
            <w:tcBorders>
              <w:top w:val="nil"/>
              <w:left w:val="nil"/>
              <w:bottom w:val="single" w:color="auto" w:sz="4" w:space="0"/>
              <w:right w:val="single" w:color="auto" w:sz="4" w:space="0"/>
            </w:tcBorders>
            <w:noWrap w:val="0"/>
            <w:vAlign w:val="center"/>
          </w:tcPr>
          <w:p w14:paraId="20108AD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c>
          <w:tcPr>
            <w:tcW w:w="802" w:type="dxa"/>
            <w:tcBorders>
              <w:top w:val="single" w:color="auto" w:sz="4" w:space="0"/>
              <w:left w:val="nil"/>
              <w:bottom w:val="single" w:color="auto" w:sz="4" w:space="0"/>
              <w:right w:val="single" w:color="auto" w:sz="4" w:space="0"/>
            </w:tcBorders>
            <w:noWrap w:val="0"/>
            <w:vAlign w:val="center"/>
          </w:tcPr>
          <w:p w14:paraId="0AA525F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0.9</w:t>
            </w:r>
          </w:p>
        </w:tc>
        <w:tc>
          <w:tcPr>
            <w:tcW w:w="801" w:type="dxa"/>
            <w:tcBorders>
              <w:top w:val="single" w:color="auto" w:sz="4" w:space="0"/>
              <w:left w:val="nil"/>
              <w:bottom w:val="single" w:color="auto" w:sz="4" w:space="0"/>
              <w:right w:val="single" w:color="auto" w:sz="4" w:space="0"/>
            </w:tcBorders>
            <w:noWrap w:val="0"/>
            <w:vAlign w:val="center"/>
          </w:tcPr>
          <w:p w14:paraId="61201C3E">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0.8</w:t>
            </w:r>
          </w:p>
        </w:tc>
      </w:tr>
      <w:tr w14:paraId="5A1E4B56">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1441955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3 </w:t>
            </w:r>
          </w:p>
        </w:tc>
        <w:tc>
          <w:tcPr>
            <w:tcW w:w="592" w:type="dxa"/>
            <w:vMerge w:val="restart"/>
            <w:tcBorders>
              <w:top w:val="nil"/>
              <w:left w:val="single" w:color="auto" w:sz="4" w:space="0"/>
              <w:bottom w:val="single" w:color="auto" w:sz="4" w:space="0"/>
              <w:right w:val="single" w:color="auto" w:sz="4" w:space="0"/>
            </w:tcBorders>
            <w:noWrap w:val="0"/>
            <w:vAlign w:val="center"/>
          </w:tcPr>
          <w:p w14:paraId="39E0D30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清单 </w:t>
            </w:r>
          </w:p>
          <w:p w14:paraId="3D4BCB44">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计价</w:t>
            </w:r>
          </w:p>
          <w:p w14:paraId="5881D474">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法</w:t>
            </w:r>
          </w:p>
        </w:tc>
        <w:tc>
          <w:tcPr>
            <w:tcW w:w="2143" w:type="dxa"/>
            <w:tcBorders>
              <w:top w:val="nil"/>
              <w:left w:val="nil"/>
              <w:bottom w:val="single" w:color="auto" w:sz="4" w:space="0"/>
              <w:right w:val="single" w:color="auto" w:sz="4" w:space="0"/>
            </w:tcBorders>
            <w:noWrap w:val="0"/>
            <w:vAlign w:val="center"/>
          </w:tcPr>
          <w:p w14:paraId="0BBD94B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工程量清单单独编制或审核</w:t>
            </w:r>
          </w:p>
        </w:tc>
        <w:tc>
          <w:tcPr>
            <w:tcW w:w="1734" w:type="dxa"/>
            <w:tcBorders>
              <w:top w:val="nil"/>
              <w:left w:val="nil"/>
              <w:bottom w:val="single" w:color="auto" w:sz="4" w:space="0"/>
              <w:right w:val="single" w:color="auto" w:sz="4" w:space="0"/>
            </w:tcBorders>
            <w:noWrap w:val="0"/>
            <w:vAlign w:val="center"/>
          </w:tcPr>
          <w:p w14:paraId="6EA9F04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nil"/>
              <w:left w:val="nil"/>
              <w:bottom w:val="single" w:color="auto" w:sz="4" w:space="0"/>
              <w:right w:val="single" w:color="auto" w:sz="4" w:space="0"/>
            </w:tcBorders>
            <w:noWrap w:val="0"/>
            <w:vAlign w:val="center"/>
          </w:tcPr>
          <w:p w14:paraId="72B0D77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2.9</w:t>
            </w:r>
          </w:p>
        </w:tc>
        <w:tc>
          <w:tcPr>
            <w:tcW w:w="782" w:type="dxa"/>
            <w:tcBorders>
              <w:top w:val="nil"/>
              <w:left w:val="nil"/>
              <w:bottom w:val="single" w:color="auto" w:sz="4" w:space="0"/>
              <w:right w:val="single" w:color="auto" w:sz="4" w:space="0"/>
            </w:tcBorders>
            <w:noWrap w:val="0"/>
            <w:vAlign w:val="center"/>
          </w:tcPr>
          <w:p w14:paraId="155BC3C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2.7</w:t>
            </w:r>
          </w:p>
        </w:tc>
        <w:tc>
          <w:tcPr>
            <w:tcW w:w="798" w:type="dxa"/>
            <w:tcBorders>
              <w:top w:val="nil"/>
              <w:left w:val="nil"/>
              <w:bottom w:val="single" w:color="auto" w:sz="4" w:space="0"/>
              <w:right w:val="single" w:color="auto" w:sz="4" w:space="0"/>
            </w:tcBorders>
            <w:noWrap w:val="0"/>
            <w:vAlign w:val="center"/>
          </w:tcPr>
          <w:p w14:paraId="3DC2EFD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2.5</w:t>
            </w:r>
          </w:p>
        </w:tc>
        <w:tc>
          <w:tcPr>
            <w:tcW w:w="799" w:type="dxa"/>
            <w:tcBorders>
              <w:top w:val="nil"/>
              <w:left w:val="nil"/>
              <w:bottom w:val="single" w:color="auto" w:sz="4" w:space="0"/>
              <w:right w:val="single" w:color="auto" w:sz="4" w:space="0"/>
            </w:tcBorders>
            <w:noWrap w:val="0"/>
            <w:vAlign w:val="center"/>
          </w:tcPr>
          <w:p w14:paraId="4B61C12F">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2.3</w:t>
            </w:r>
          </w:p>
        </w:tc>
        <w:tc>
          <w:tcPr>
            <w:tcW w:w="798" w:type="dxa"/>
            <w:tcBorders>
              <w:top w:val="nil"/>
              <w:left w:val="nil"/>
              <w:bottom w:val="single" w:color="auto" w:sz="4" w:space="0"/>
              <w:right w:val="single" w:color="auto" w:sz="4" w:space="0"/>
            </w:tcBorders>
            <w:noWrap w:val="0"/>
            <w:vAlign w:val="center"/>
          </w:tcPr>
          <w:p w14:paraId="7F338E0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2.1</w:t>
            </w:r>
          </w:p>
        </w:tc>
        <w:tc>
          <w:tcPr>
            <w:tcW w:w="802" w:type="dxa"/>
            <w:tcBorders>
              <w:top w:val="single" w:color="auto" w:sz="4" w:space="0"/>
              <w:left w:val="nil"/>
              <w:bottom w:val="single" w:color="auto" w:sz="4" w:space="0"/>
              <w:right w:val="single" w:color="auto" w:sz="4" w:space="0"/>
            </w:tcBorders>
            <w:noWrap w:val="0"/>
            <w:vAlign w:val="center"/>
          </w:tcPr>
          <w:p w14:paraId="4BD7B60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1.9</w:t>
            </w:r>
          </w:p>
        </w:tc>
        <w:tc>
          <w:tcPr>
            <w:tcW w:w="801" w:type="dxa"/>
            <w:tcBorders>
              <w:top w:val="single" w:color="auto" w:sz="4" w:space="0"/>
              <w:left w:val="nil"/>
              <w:bottom w:val="single" w:color="auto" w:sz="4" w:space="0"/>
              <w:right w:val="single" w:color="auto" w:sz="4" w:space="0"/>
            </w:tcBorders>
            <w:noWrap w:val="0"/>
            <w:vAlign w:val="center"/>
          </w:tcPr>
          <w:p w14:paraId="2B0398F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1.7</w:t>
            </w:r>
          </w:p>
        </w:tc>
      </w:tr>
      <w:tr w14:paraId="7F882BC7">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7EB6455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4 </w:t>
            </w:r>
          </w:p>
        </w:tc>
        <w:tc>
          <w:tcPr>
            <w:tcW w:w="592" w:type="dxa"/>
            <w:vMerge w:val="continue"/>
            <w:tcBorders>
              <w:top w:val="nil"/>
              <w:left w:val="single" w:color="auto" w:sz="4" w:space="0"/>
              <w:bottom w:val="single" w:color="auto" w:sz="4" w:space="0"/>
              <w:right w:val="single" w:color="auto" w:sz="4" w:space="0"/>
            </w:tcBorders>
            <w:noWrap w:val="0"/>
            <w:vAlign w:val="center"/>
          </w:tcPr>
          <w:p w14:paraId="5CC7E8E7">
            <w:pPr>
              <w:widowControl/>
              <w:spacing w:line="240" w:lineRule="exact"/>
              <w:jc w:val="left"/>
              <w:rPr>
                <w:rFonts w:hint="eastAsia" w:ascii="仿宋_GB2312" w:hAnsi="宋体" w:eastAsia="仿宋_GB2312" w:cs="宋体"/>
                <w:color w:val="000000"/>
                <w:kern w:val="0"/>
                <w:szCs w:val="21"/>
                <w:highlight w:val="none"/>
              </w:rPr>
            </w:pPr>
          </w:p>
        </w:tc>
        <w:tc>
          <w:tcPr>
            <w:tcW w:w="2143" w:type="dxa"/>
            <w:tcBorders>
              <w:top w:val="nil"/>
              <w:left w:val="nil"/>
              <w:bottom w:val="single" w:color="auto" w:sz="4" w:space="0"/>
              <w:right w:val="single" w:color="auto" w:sz="4" w:space="0"/>
            </w:tcBorders>
            <w:noWrap w:val="0"/>
            <w:vAlign w:val="center"/>
          </w:tcPr>
          <w:p w14:paraId="1BA3E81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投标报价编制</w:t>
            </w:r>
          </w:p>
        </w:tc>
        <w:tc>
          <w:tcPr>
            <w:tcW w:w="1734" w:type="dxa"/>
            <w:tcBorders>
              <w:top w:val="nil"/>
              <w:left w:val="nil"/>
              <w:bottom w:val="single" w:color="auto" w:sz="4" w:space="0"/>
              <w:right w:val="single" w:color="auto" w:sz="4" w:space="0"/>
            </w:tcBorders>
            <w:noWrap w:val="0"/>
            <w:vAlign w:val="center"/>
          </w:tcPr>
          <w:p w14:paraId="3348281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nil"/>
              <w:left w:val="nil"/>
              <w:bottom w:val="single" w:color="auto" w:sz="4" w:space="0"/>
              <w:right w:val="single" w:color="auto" w:sz="4" w:space="0"/>
            </w:tcBorders>
            <w:noWrap w:val="0"/>
            <w:vAlign w:val="center"/>
          </w:tcPr>
          <w:p w14:paraId="34785BB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1.4</w:t>
            </w:r>
          </w:p>
        </w:tc>
        <w:tc>
          <w:tcPr>
            <w:tcW w:w="782" w:type="dxa"/>
            <w:tcBorders>
              <w:top w:val="nil"/>
              <w:left w:val="nil"/>
              <w:bottom w:val="single" w:color="auto" w:sz="4" w:space="0"/>
              <w:right w:val="single" w:color="auto" w:sz="4" w:space="0"/>
            </w:tcBorders>
            <w:noWrap w:val="0"/>
            <w:vAlign w:val="center"/>
          </w:tcPr>
          <w:p w14:paraId="583C709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1.2</w:t>
            </w:r>
          </w:p>
        </w:tc>
        <w:tc>
          <w:tcPr>
            <w:tcW w:w="798" w:type="dxa"/>
            <w:tcBorders>
              <w:top w:val="nil"/>
              <w:left w:val="nil"/>
              <w:bottom w:val="single" w:color="auto" w:sz="4" w:space="0"/>
              <w:right w:val="single" w:color="auto" w:sz="4" w:space="0"/>
            </w:tcBorders>
            <w:noWrap w:val="0"/>
            <w:vAlign w:val="center"/>
          </w:tcPr>
          <w:p w14:paraId="5E2098D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c>
          <w:tcPr>
            <w:tcW w:w="799" w:type="dxa"/>
            <w:tcBorders>
              <w:top w:val="nil"/>
              <w:left w:val="nil"/>
              <w:bottom w:val="single" w:color="auto" w:sz="4" w:space="0"/>
              <w:right w:val="single" w:color="auto" w:sz="4" w:space="0"/>
            </w:tcBorders>
            <w:noWrap w:val="0"/>
            <w:vAlign w:val="center"/>
          </w:tcPr>
          <w:p w14:paraId="2F6A686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0.8</w:t>
            </w:r>
          </w:p>
        </w:tc>
        <w:tc>
          <w:tcPr>
            <w:tcW w:w="798" w:type="dxa"/>
            <w:tcBorders>
              <w:top w:val="nil"/>
              <w:left w:val="nil"/>
              <w:bottom w:val="single" w:color="auto" w:sz="4" w:space="0"/>
              <w:right w:val="single" w:color="auto" w:sz="4" w:space="0"/>
            </w:tcBorders>
            <w:noWrap w:val="0"/>
            <w:vAlign w:val="center"/>
          </w:tcPr>
          <w:p w14:paraId="7AF079C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0.6</w:t>
            </w:r>
          </w:p>
        </w:tc>
        <w:tc>
          <w:tcPr>
            <w:tcW w:w="802" w:type="dxa"/>
            <w:tcBorders>
              <w:top w:val="single" w:color="auto" w:sz="4" w:space="0"/>
              <w:left w:val="nil"/>
              <w:bottom w:val="single" w:color="auto" w:sz="4" w:space="0"/>
              <w:right w:val="single" w:color="auto" w:sz="4" w:space="0"/>
            </w:tcBorders>
            <w:noWrap w:val="0"/>
            <w:vAlign w:val="center"/>
          </w:tcPr>
          <w:p w14:paraId="3B856D4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0.5</w:t>
            </w:r>
          </w:p>
        </w:tc>
        <w:tc>
          <w:tcPr>
            <w:tcW w:w="801" w:type="dxa"/>
            <w:tcBorders>
              <w:top w:val="single" w:color="auto" w:sz="4" w:space="0"/>
              <w:left w:val="nil"/>
              <w:bottom w:val="single" w:color="auto" w:sz="4" w:space="0"/>
              <w:right w:val="single" w:color="auto" w:sz="4" w:space="0"/>
            </w:tcBorders>
            <w:noWrap w:val="0"/>
            <w:vAlign w:val="center"/>
          </w:tcPr>
          <w:p w14:paraId="77794CA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0.4</w:t>
            </w:r>
          </w:p>
        </w:tc>
      </w:tr>
      <w:tr w14:paraId="21CC6330">
        <w:tblPrEx>
          <w:tblCellMar>
            <w:top w:w="0" w:type="dxa"/>
            <w:left w:w="0" w:type="dxa"/>
            <w:bottom w:w="0" w:type="dxa"/>
            <w:right w:w="0" w:type="dxa"/>
          </w:tblCellMar>
        </w:tblPrEx>
        <w:trPr>
          <w:trHeight w:val="489" w:hRule="atLeast"/>
          <w:jc w:val="center"/>
        </w:trPr>
        <w:tc>
          <w:tcPr>
            <w:tcW w:w="515" w:type="dxa"/>
            <w:tcBorders>
              <w:top w:val="nil"/>
              <w:left w:val="single" w:color="auto" w:sz="4" w:space="0"/>
              <w:bottom w:val="single" w:color="auto" w:sz="4" w:space="0"/>
              <w:right w:val="single" w:color="auto" w:sz="4" w:space="0"/>
            </w:tcBorders>
            <w:noWrap w:val="0"/>
            <w:vAlign w:val="center"/>
          </w:tcPr>
          <w:p w14:paraId="0D36DA5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5</w:t>
            </w:r>
          </w:p>
        </w:tc>
        <w:tc>
          <w:tcPr>
            <w:tcW w:w="592" w:type="dxa"/>
            <w:vMerge w:val="continue"/>
            <w:tcBorders>
              <w:top w:val="nil"/>
              <w:left w:val="single" w:color="auto" w:sz="4" w:space="0"/>
              <w:bottom w:val="single" w:color="auto" w:sz="4" w:space="0"/>
              <w:right w:val="single" w:color="auto" w:sz="4" w:space="0"/>
            </w:tcBorders>
            <w:noWrap w:val="0"/>
            <w:vAlign w:val="center"/>
          </w:tcPr>
          <w:p w14:paraId="2E08FEEE">
            <w:pPr>
              <w:widowControl/>
              <w:spacing w:line="240" w:lineRule="exact"/>
              <w:jc w:val="left"/>
              <w:rPr>
                <w:rFonts w:hint="eastAsia" w:ascii="仿宋_GB2312" w:hAnsi="宋体" w:eastAsia="仿宋_GB2312" w:cs="宋体"/>
                <w:color w:val="000000"/>
                <w:kern w:val="0"/>
                <w:szCs w:val="21"/>
                <w:highlight w:val="none"/>
              </w:rPr>
            </w:pPr>
          </w:p>
        </w:tc>
        <w:tc>
          <w:tcPr>
            <w:tcW w:w="2143" w:type="dxa"/>
            <w:tcBorders>
              <w:top w:val="nil"/>
              <w:left w:val="nil"/>
              <w:bottom w:val="single" w:color="auto" w:sz="4" w:space="0"/>
              <w:right w:val="single" w:color="auto" w:sz="4" w:space="0"/>
            </w:tcBorders>
            <w:noWrap w:val="0"/>
            <w:vAlign w:val="center"/>
          </w:tcPr>
          <w:p w14:paraId="07E205A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工程量清单及预算、招标控制价的编制或审核</w:t>
            </w:r>
          </w:p>
        </w:tc>
        <w:tc>
          <w:tcPr>
            <w:tcW w:w="1734" w:type="dxa"/>
            <w:tcBorders>
              <w:top w:val="nil"/>
              <w:left w:val="nil"/>
              <w:bottom w:val="single" w:color="auto" w:sz="4" w:space="0"/>
              <w:right w:val="single" w:color="auto" w:sz="4" w:space="0"/>
            </w:tcBorders>
            <w:noWrap w:val="0"/>
            <w:vAlign w:val="center"/>
          </w:tcPr>
          <w:p w14:paraId="563AB7A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nil"/>
              <w:left w:val="nil"/>
              <w:bottom w:val="single" w:color="auto" w:sz="4" w:space="0"/>
              <w:right w:val="single" w:color="auto" w:sz="4" w:space="0"/>
            </w:tcBorders>
            <w:noWrap w:val="0"/>
            <w:vAlign w:val="center"/>
          </w:tcPr>
          <w:p w14:paraId="75B0EE9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3.6</w:t>
            </w:r>
          </w:p>
        </w:tc>
        <w:tc>
          <w:tcPr>
            <w:tcW w:w="782" w:type="dxa"/>
            <w:tcBorders>
              <w:top w:val="nil"/>
              <w:left w:val="nil"/>
              <w:bottom w:val="single" w:color="auto" w:sz="4" w:space="0"/>
              <w:right w:val="single" w:color="auto" w:sz="4" w:space="0"/>
            </w:tcBorders>
            <w:noWrap w:val="0"/>
            <w:vAlign w:val="center"/>
          </w:tcPr>
          <w:p w14:paraId="1FB9F5D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3.3</w:t>
            </w:r>
          </w:p>
        </w:tc>
        <w:tc>
          <w:tcPr>
            <w:tcW w:w="798" w:type="dxa"/>
            <w:tcBorders>
              <w:top w:val="nil"/>
              <w:left w:val="nil"/>
              <w:bottom w:val="single" w:color="auto" w:sz="4" w:space="0"/>
              <w:right w:val="single" w:color="auto" w:sz="4" w:space="0"/>
            </w:tcBorders>
            <w:noWrap w:val="0"/>
            <w:vAlign w:val="center"/>
          </w:tcPr>
          <w:p w14:paraId="3E0B842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3.0</w:t>
            </w:r>
          </w:p>
        </w:tc>
        <w:tc>
          <w:tcPr>
            <w:tcW w:w="799" w:type="dxa"/>
            <w:tcBorders>
              <w:top w:val="nil"/>
              <w:left w:val="nil"/>
              <w:bottom w:val="single" w:color="auto" w:sz="4" w:space="0"/>
              <w:right w:val="single" w:color="auto" w:sz="4" w:space="0"/>
            </w:tcBorders>
            <w:noWrap w:val="0"/>
            <w:vAlign w:val="center"/>
          </w:tcPr>
          <w:p w14:paraId="683290A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2.7</w:t>
            </w:r>
          </w:p>
        </w:tc>
        <w:tc>
          <w:tcPr>
            <w:tcW w:w="798" w:type="dxa"/>
            <w:tcBorders>
              <w:top w:val="nil"/>
              <w:left w:val="nil"/>
              <w:bottom w:val="single" w:color="auto" w:sz="4" w:space="0"/>
              <w:right w:val="single" w:color="auto" w:sz="4" w:space="0"/>
            </w:tcBorders>
            <w:noWrap w:val="0"/>
            <w:vAlign w:val="center"/>
          </w:tcPr>
          <w:p w14:paraId="4975A4E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2.4</w:t>
            </w:r>
          </w:p>
        </w:tc>
        <w:tc>
          <w:tcPr>
            <w:tcW w:w="802" w:type="dxa"/>
            <w:tcBorders>
              <w:top w:val="single" w:color="auto" w:sz="4" w:space="0"/>
              <w:left w:val="nil"/>
              <w:bottom w:val="single" w:color="auto" w:sz="4" w:space="0"/>
              <w:right w:val="single" w:color="auto" w:sz="4" w:space="0"/>
            </w:tcBorders>
            <w:noWrap w:val="0"/>
            <w:vAlign w:val="center"/>
          </w:tcPr>
          <w:p w14:paraId="128B93C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2.1</w:t>
            </w:r>
          </w:p>
        </w:tc>
        <w:tc>
          <w:tcPr>
            <w:tcW w:w="801" w:type="dxa"/>
            <w:tcBorders>
              <w:top w:val="single" w:color="auto" w:sz="4" w:space="0"/>
              <w:left w:val="nil"/>
              <w:bottom w:val="single" w:color="auto" w:sz="4" w:space="0"/>
              <w:right w:val="single" w:color="auto" w:sz="4" w:space="0"/>
            </w:tcBorders>
            <w:noWrap w:val="0"/>
            <w:vAlign w:val="center"/>
          </w:tcPr>
          <w:p w14:paraId="19FE977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1.8</w:t>
            </w:r>
          </w:p>
        </w:tc>
      </w:tr>
      <w:tr w14:paraId="617A59D4">
        <w:tblPrEx>
          <w:tblCellMar>
            <w:top w:w="0" w:type="dxa"/>
            <w:left w:w="0" w:type="dxa"/>
            <w:bottom w:w="0" w:type="dxa"/>
            <w:right w:w="0" w:type="dxa"/>
          </w:tblCellMar>
        </w:tblPrEx>
        <w:trPr>
          <w:trHeight w:val="489" w:hRule="atLeast"/>
          <w:jc w:val="center"/>
        </w:trPr>
        <w:tc>
          <w:tcPr>
            <w:tcW w:w="515" w:type="dxa"/>
            <w:tcBorders>
              <w:top w:val="nil"/>
              <w:left w:val="single" w:color="auto" w:sz="4" w:space="0"/>
              <w:bottom w:val="single" w:color="auto" w:sz="4" w:space="0"/>
              <w:right w:val="single" w:color="auto" w:sz="4" w:space="0"/>
            </w:tcBorders>
            <w:noWrap w:val="0"/>
            <w:vAlign w:val="center"/>
          </w:tcPr>
          <w:p w14:paraId="3E72048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6 </w:t>
            </w:r>
          </w:p>
        </w:tc>
        <w:tc>
          <w:tcPr>
            <w:tcW w:w="592" w:type="dxa"/>
            <w:tcBorders>
              <w:top w:val="nil"/>
              <w:left w:val="single" w:color="auto" w:sz="4" w:space="0"/>
              <w:bottom w:val="single" w:color="auto" w:sz="4" w:space="0"/>
              <w:right w:val="single" w:color="auto" w:sz="4" w:space="0"/>
            </w:tcBorders>
            <w:noWrap w:val="0"/>
            <w:vAlign w:val="center"/>
          </w:tcPr>
          <w:p w14:paraId="23EBEE5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定额计价法</w:t>
            </w:r>
          </w:p>
        </w:tc>
        <w:tc>
          <w:tcPr>
            <w:tcW w:w="2143" w:type="dxa"/>
            <w:tcBorders>
              <w:top w:val="nil"/>
              <w:left w:val="nil"/>
              <w:bottom w:val="single" w:color="auto" w:sz="4" w:space="0"/>
              <w:right w:val="single" w:color="auto" w:sz="4" w:space="0"/>
            </w:tcBorders>
            <w:noWrap w:val="0"/>
            <w:vAlign w:val="center"/>
          </w:tcPr>
          <w:p w14:paraId="2D64623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预算、招标控制价、投标报价的编制或审核</w:t>
            </w:r>
          </w:p>
        </w:tc>
        <w:tc>
          <w:tcPr>
            <w:tcW w:w="1734" w:type="dxa"/>
            <w:tcBorders>
              <w:top w:val="nil"/>
              <w:left w:val="nil"/>
              <w:bottom w:val="single" w:color="auto" w:sz="4" w:space="0"/>
              <w:right w:val="single" w:color="auto" w:sz="4" w:space="0"/>
            </w:tcBorders>
            <w:noWrap w:val="0"/>
            <w:vAlign w:val="center"/>
          </w:tcPr>
          <w:p w14:paraId="034AE54E">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nil"/>
              <w:left w:val="nil"/>
              <w:bottom w:val="single" w:color="auto" w:sz="4" w:space="0"/>
              <w:right w:val="single" w:color="auto" w:sz="4" w:space="0"/>
            </w:tcBorders>
            <w:noWrap w:val="0"/>
            <w:vAlign w:val="center"/>
          </w:tcPr>
          <w:p w14:paraId="5DA6C1C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3.0</w:t>
            </w:r>
          </w:p>
        </w:tc>
        <w:tc>
          <w:tcPr>
            <w:tcW w:w="782" w:type="dxa"/>
            <w:tcBorders>
              <w:top w:val="nil"/>
              <w:left w:val="nil"/>
              <w:bottom w:val="single" w:color="auto" w:sz="4" w:space="0"/>
              <w:right w:val="single" w:color="auto" w:sz="4" w:space="0"/>
            </w:tcBorders>
            <w:noWrap w:val="0"/>
            <w:vAlign w:val="center"/>
          </w:tcPr>
          <w:p w14:paraId="612CE7CF">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2.5</w:t>
            </w:r>
          </w:p>
        </w:tc>
        <w:tc>
          <w:tcPr>
            <w:tcW w:w="798" w:type="dxa"/>
            <w:tcBorders>
              <w:top w:val="nil"/>
              <w:left w:val="nil"/>
              <w:bottom w:val="single" w:color="auto" w:sz="4" w:space="0"/>
              <w:right w:val="single" w:color="auto" w:sz="4" w:space="0"/>
            </w:tcBorders>
            <w:noWrap w:val="0"/>
            <w:vAlign w:val="center"/>
          </w:tcPr>
          <w:p w14:paraId="6D1E837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2.3</w:t>
            </w:r>
          </w:p>
        </w:tc>
        <w:tc>
          <w:tcPr>
            <w:tcW w:w="799" w:type="dxa"/>
            <w:tcBorders>
              <w:top w:val="nil"/>
              <w:left w:val="nil"/>
              <w:bottom w:val="single" w:color="auto" w:sz="4" w:space="0"/>
              <w:right w:val="single" w:color="auto" w:sz="4" w:space="0"/>
            </w:tcBorders>
            <w:noWrap w:val="0"/>
            <w:vAlign w:val="center"/>
          </w:tcPr>
          <w:p w14:paraId="7FF485E4">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2.1</w:t>
            </w:r>
          </w:p>
        </w:tc>
        <w:tc>
          <w:tcPr>
            <w:tcW w:w="798" w:type="dxa"/>
            <w:tcBorders>
              <w:top w:val="nil"/>
              <w:left w:val="nil"/>
              <w:bottom w:val="single" w:color="auto" w:sz="4" w:space="0"/>
              <w:right w:val="single" w:color="auto" w:sz="4" w:space="0"/>
            </w:tcBorders>
            <w:noWrap w:val="0"/>
            <w:vAlign w:val="center"/>
          </w:tcPr>
          <w:p w14:paraId="65C2CC2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1.9</w:t>
            </w:r>
          </w:p>
        </w:tc>
        <w:tc>
          <w:tcPr>
            <w:tcW w:w="802" w:type="dxa"/>
            <w:tcBorders>
              <w:top w:val="single" w:color="auto" w:sz="4" w:space="0"/>
              <w:left w:val="nil"/>
              <w:bottom w:val="single" w:color="auto" w:sz="4" w:space="0"/>
              <w:right w:val="single" w:color="auto" w:sz="4" w:space="0"/>
            </w:tcBorders>
            <w:noWrap w:val="0"/>
            <w:vAlign w:val="center"/>
          </w:tcPr>
          <w:p w14:paraId="110F191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1.7</w:t>
            </w:r>
          </w:p>
        </w:tc>
        <w:tc>
          <w:tcPr>
            <w:tcW w:w="801" w:type="dxa"/>
            <w:tcBorders>
              <w:top w:val="single" w:color="auto" w:sz="4" w:space="0"/>
              <w:left w:val="nil"/>
              <w:bottom w:val="single" w:color="auto" w:sz="4" w:space="0"/>
              <w:right w:val="single" w:color="auto" w:sz="4" w:space="0"/>
            </w:tcBorders>
            <w:noWrap w:val="0"/>
            <w:vAlign w:val="center"/>
          </w:tcPr>
          <w:p w14:paraId="7E9B0EF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1.5</w:t>
            </w:r>
          </w:p>
        </w:tc>
      </w:tr>
      <w:tr w14:paraId="72E502FF">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4951101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7</w:t>
            </w:r>
          </w:p>
        </w:tc>
        <w:tc>
          <w:tcPr>
            <w:tcW w:w="2735" w:type="dxa"/>
            <w:gridSpan w:val="2"/>
            <w:tcBorders>
              <w:top w:val="nil"/>
              <w:left w:val="single" w:color="auto" w:sz="4" w:space="0"/>
              <w:bottom w:val="single" w:color="auto" w:sz="4" w:space="0"/>
              <w:right w:val="single" w:color="auto" w:sz="4" w:space="0"/>
            </w:tcBorders>
            <w:noWrap w:val="0"/>
            <w:vAlign w:val="center"/>
          </w:tcPr>
          <w:p w14:paraId="1F93699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工程结算编制</w:t>
            </w:r>
          </w:p>
        </w:tc>
        <w:tc>
          <w:tcPr>
            <w:tcW w:w="1734" w:type="dxa"/>
            <w:tcBorders>
              <w:top w:val="nil"/>
              <w:left w:val="nil"/>
              <w:bottom w:val="single" w:color="auto" w:sz="4" w:space="0"/>
              <w:right w:val="single" w:color="auto" w:sz="4" w:space="0"/>
            </w:tcBorders>
            <w:noWrap w:val="0"/>
            <w:vAlign w:val="center"/>
          </w:tcPr>
          <w:p w14:paraId="4CA7365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nil"/>
              <w:left w:val="nil"/>
              <w:bottom w:val="single" w:color="auto" w:sz="4" w:space="0"/>
              <w:right w:val="single" w:color="auto" w:sz="4" w:space="0"/>
            </w:tcBorders>
            <w:noWrap w:val="0"/>
            <w:vAlign w:val="center"/>
          </w:tcPr>
          <w:p w14:paraId="01AD564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2.5</w:t>
            </w:r>
          </w:p>
        </w:tc>
        <w:tc>
          <w:tcPr>
            <w:tcW w:w="782" w:type="dxa"/>
            <w:tcBorders>
              <w:top w:val="nil"/>
              <w:left w:val="nil"/>
              <w:bottom w:val="single" w:color="auto" w:sz="4" w:space="0"/>
              <w:right w:val="single" w:color="auto" w:sz="4" w:space="0"/>
            </w:tcBorders>
            <w:noWrap w:val="0"/>
            <w:vAlign w:val="center"/>
          </w:tcPr>
          <w:p w14:paraId="33661EA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2.2</w:t>
            </w:r>
          </w:p>
        </w:tc>
        <w:tc>
          <w:tcPr>
            <w:tcW w:w="798" w:type="dxa"/>
            <w:tcBorders>
              <w:top w:val="nil"/>
              <w:left w:val="nil"/>
              <w:bottom w:val="single" w:color="auto" w:sz="4" w:space="0"/>
              <w:right w:val="single" w:color="auto" w:sz="4" w:space="0"/>
            </w:tcBorders>
            <w:noWrap w:val="0"/>
            <w:vAlign w:val="center"/>
          </w:tcPr>
          <w:p w14:paraId="05938B8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1.9</w:t>
            </w:r>
          </w:p>
        </w:tc>
        <w:tc>
          <w:tcPr>
            <w:tcW w:w="799" w:type="dxa"/>
            <w:tcBorders>
              <w:top w:val="nil"/>
              <w:left w:val="nil"/>
              <w:bottom w:val="single" w:color="auto" w:sz="4" w:space="0"/>
              <w:right w:val="single" w:color="auto" w:sz="4" w:space="0"/>
            </w:tcBorders>
            <w:noWrap w:val="0"/>
            <w:vAlign w:val="center"/>
          </w:tcPr>
          <w:p w14:paraId="246113C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1.6</w:t>
            </w:r>
          </w:p>
        </w:tc>
        <w:tc>
          <w:tcPr>
            <w:tcW w:w="798" w:type="dxa"/>
            <w:tcBorders>
              <w:top w:val="nil"/>
              <w:left w:val="nil"/>
              <w:bottom w:val="single" w:color="auto" w:sz="4" w:space="0"/>
              <w:right w:val="single" w:color="auto" w:sz="4" w:space="0"/>
            </w:tcBorders>
            <w:noWrap w:val="0"/>
            <w:vAlign w:val="center"/>
          </w:tcPr>
          <w:p w14:paraId="34E265C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1.3</w:t>
            </w:r>
          </w:p>
        </w:tc>
        <w:tc>
          <w:tcPr>
            <w:tcW w:w="802" w:type="dxa"/>
            <w:tcBorders>
              <w:top w:val="single" w:color="auto" w:sz="4" w:space="0"/>
              <w:left w:val="nil"/>
              <w:bottom w:val="single" w:color="auto" w:sz="4" w:space="0"/>
              <w:right w:val="single" w:color="auto" w:sz="4" w:space="0"/>
            </w:tcBorders>
            <w:noWrap w:val="0"/>
            <w:vAlign w:val="center"/>
          </w:tcPr>
          <w:p w14:paraId="4FE1855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c>
          <w:tcPr>
            <w:tcW w:w="801" w:type="dxa"/>
            <w:tcBorders>
              <w:top w:val="single" w:color="auto" w:sz="4" w:space="0"/>
              <w:left w:val="nil"/>
              <w:bottom w:val="single" w:color="auto" w:sz="4" w:space="0"/>
              <w:right w:val="single" w:color="auto" w:sz="4" w:space="0"/>
            </w:tcBorders>
            <w:noWrap w:val="0"/>
            <w:vAlign w:val="center"/>
          </w:tcPr>
          <w:p w14:paraId="1484F368">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0.70</w:t>
            </w:r>
          </w:p>
        </w:tc>
      </w:tr>
      <w:tr w14:paraId="4B8D2807">
        <w:tblPrEx>
          <w:tblCellMar>
            <w:top w:w="0" w:type="dxa"/>
            <w:left w:w="0" w:type="dxa"/>
            <w:bottom w:w="0" w:type="dxa"/>
            <w:right w:w="0" w:type="dxa"/>
          </w:tblCellMar>
        </w:tblPrEx>
        <w:trPr>
          <w:trHeight w:val="463" w:hRule="atLeast"/>
          <w:jc w:val="center"/>
        </w:trPr>
        <w:tc>
          <w:tcPr>
            <w:tcW w:w="515" w:type="dxa"/>
            <w:vMerge w:val="restart"/>
            <w:tcBorders>
              <w:top w:val="nil"/>
              <w:left w:val="single" w:color="auto" w:sz="4" w:space="0"/>
              <w:right w:val="single" w:color="auto" w:sz="4" w:space="0"/>
            </w:tcBorders>
            <w:noWrap w:val="0"/>
            <w:vAlign w:val="center"/>
          </w:tcPr>
          <w:p w14:paraId="18BDC294">
            <w:pPr>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8 </w:t>
            </w:r>
          </w:p>
        </w:tc>
        <w:tc>
          <w:tcPr>
            <w:tcW w:w="592" w:type="dxa"/>
            <w:vMerge w:val="restart"/>
            <w:tcBorders>
              <w:top w:val="nil"/>
              <w:left w:val="single" w:color="auto" w:sz="4" w:space="0"/>
              <w:bottom w:val="single" w:color="auto" w:sz="4" w:space="0"/>
              <w:right w:val="single" w:color="auto" w:sz="4" w:space="0"/>
            </w:tcBorders>
            <w:noWrap w:val="0"/>
            <w:vAlign w:val="center"/>
          </w:tcPr>
          <w:p w14:paraId="26CA9FAC">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工程结算审核</w:t>
            </w:r>
          </w:p>
        </w:tc>
        <w:tc>
          <w:tcPr>
            <w:tcW w:w="2143" w:type="dxa"/>
            <w:tcBorders>
              <w:top w:val="nil"/>
              <w:left w:val="nil"/>
              <w:bottom w:val="single" w:color="auto" w:sz="4" w:space="0"/>
              <w:right w:val="single" w:color="auto" w:sz="4" w:space="0"/>
            </w:tcBorders>
            <w:noWrap w:val="0"/>
            <w:vAlign w:val="center"/>
          </w:tcPr>
          <w:p w14:paraId="2D6D89A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基本收费</w:t>
            </w:r>
          </w:p>
        </w:tc>
        <w:tc>
          <w:tcPr>
            <w:tcW w:w="1734" w:type="dxa"/>
            <w:tcBorders>
              <w:top w:val="nil"/>
              <w:left w:val="nil"/>
              <w:bottom w:val="single" w:color="auto" w:sz="4" w:space="0"/>
              <w:right w:val="single" w:color="auto" w:sz="4" w:space="0"/>
            </w:tcBorders>
            <w:noWrap w:val="0"/>
            <w:vAlign w:val="center"/>
          </w:tcPr>
          <w:p w14:paraId="4F7B220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送审工程造价</w:t>
            </w:r>
          </w:p>
        </w:tc>
        <w:tc>
          <w:tcPr>
            <w:tcW w:w="814" w:type="dxa"/>
            <w:tcBorders>
              <w:top w:val="single" w:color="auto" w:sz="4" w:space="0"/>
              <w:left w:val="nil"/>
              <w:bottom w:val="single" w:color="auto" w:sz="4" w:space="0"/>
              <w:right w:val="single" w:color="auto" w:sz="4" w:space="0"/>
            </w:tcBorders>
            <w:noWrap w:val="0"/>
            <w:vAlign w:val="center"/>
          </w:tcPr>
          <w:p w14:paraId="19EF606B">
            <w:pPr>
              <w:widowControl/>
              <w:spacing w:before="100" w:beforeAutospacing="1" w:after="100" w:afterAutospacing="1" w:line="240" w:lineRule="exact"/>
              <w:jc w:val="center"/>
              <w:rPr>
                <w:rFonts w:hint="eastAsia" w:ascii="仿宋_GB2312" w:hAnsi="宋体" w:eastAsia="仿宋_GB2312" w:cs="宋体"/>
                <w:dstrike/>
                <w:color w:val="FF0000"/>
                <w:kern w:val="0"/>
                <w:szCs w:val="21"/>
                <w:highlight w:val="none"/>
              </w:rPr>
            </w:pPr>
            <w:r>
              <w:rPr>
                <w:rFonts w:hint="eastAsia" w:ascii="仿宋_GB2312" w:hAnsi="宋体" w:eastAsia="仿宋_GB2312" w:cs="宋体"/>
                <w:color w:val="000000"/>
                <w:kern w:val="0"/>
                <w:szCs w:val="21"/>
                <w:highlight w:val="none"/>
              </w:rPr>
              <w:t>2.8</w:t>
            </w:r>
          </w:p>
        </w:tc>
        <w:tc>
          <w:tcPr>
            <w:tcW w:w="782" w:type="dxa"/>
            <w:tcBorders>
              <w:top w:val="single" w:color="auto" w:sz="4" w:space="0"/>
              <w:left w:val="nil"/>
              <w:bottom w:val="single" w:color="auto" w:sz="4" w:space="0"/>
              <w:right w:val="single" w:color="auto" w:sz="4" w:space="0"/>
            </w:tcBorders>
            <w:noWrap w:val="0"/>
            <w:vAlign w:val="center"/>
          </w:tcPr>
          <w:p w14:paraId="11930C1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2.5</w:t>
            </w:r>
          </w:p>
        </w:tc>
        <w:tc>
          <w:tcPr>
            <w:tcW w:w="798" w:type="dxa"/>
            <w:tcBorders>
              <w:top w:val="single" w:color="auto" w:sz="4" w:space="0"/>
              <w:left w:val="nil"/>
              <w:bottom w:val="single" w:color="auto" w:sz="4" w:space="0"/>
              <w:right w:val="single" w:color="auto" w:sz="4" w:space="0"/>
            </w:tcBorders>
            <w:noWrap w:val="0"/>
            <w:vAlign w:val="center"/>
          </w:tcPr>
          <w:p w14:paraId="75320FC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2.2</w:t>
            </w:r>
          </w:p>
        </w:tc>
        <w:tc>
          <w:tcPr>
            <w:tcW w:w="799" w:type="dxa"/>
            <w:tcBorders>
              <w:top w:val="single" w:color="auto" w:sz="4" w:space="0"/>
              <w:left w:val="nil"/>
              <w:bottom w:val="single" w:color="auto" w:sz="4" w:space="0"/>
              <w:right w:val="single" w:color="auto" w:sz="4" w:space="0"/>
            </w:tcBorders>
            <w:noWrap w:val="0"/>
            <w:vAlign w:val="center"/>
          </w:tcPr>
          <w:p w14:paraId="491E5EA2">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1.9</w:t>
            </w:r>
          </w:p>
        </w:tc>
        <w:tc>
          <w:tcPr>
            <w:tcW w:w="798" w:type="dxa"/>
            <w:tcBorders>
              <w:top w:val="single" w:color="auto" w:sz="4" w:space="0"/>
              <w:left w:val="nil"/>
              <w:bottom w:val="single" w:color="auto" w:sz="4" w:space="0"/>
              <w:right w:val="single" w:color="auto" w:sz="4" w:space="0"/>
            </w:tcBorders>
            <w:noWrap w:val="0"/>
            <w:vAlign w:val="center"/>
          </w:tcPr>
          <w:p w14:paraId="1527E08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1.6</w:t>
            </w:r>
          </w:p>
        </w:tc>
        <w:tc>
          <w:tcPr>
            <w:tcW w:w="802" w:type="dxa"/>
            <w:tcBorders>
              <w:top w:val="single" w:color="auto" w:sz="4" w:space="0"/>
              <w:left w:val="nil"/>
              <w:bottom w:val="single" w:color="auto" w:sz="4" w:space="0"/>
              <w:right w:val="single" w:color="auto" w:sz="4" w:space="0"/>
            </w:tcBorders>
            <w:noWrap w:val="0"/>
            <w:vAlign w:val="center"/>
          </w:tcPr>
          <w:p w14:paraId="63EFC68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1.3</w:t>
            </w:r>
          </w:p>
        </w:tc>
        <w:tc>
          <w:tcPr>
            <w:tcW w:w="801" w:type="dxa"/>
            <w:tcBorders>
              <w:top w:val="single" w:color="auto" w:sz="4" w:space="0"/>
              <w:left w:val="nil"/>
              <w:bottom w:val="single" w:color="auto" w:sz="4" w:space="0"/>
              <w:right w:val="single" w:color="auto" w:sz="4" w:space="0"/>
            </w:tcBorders>
            <w:noWrap w:val="0"/>
            <w:vAlign w:val="center"/>
          </w:tcPr>
          <w:p w14:paraId="424FA89F">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r>
      <w:tr w14:paraId="684B6EEE">
        <w:tblPrEx>
          <w:tblCellMar>
            <w:top w:w="0" w:type="dxa"/>
            <w:left w:w="0" w:type="dxa"/>
            <w:bottom w:w="0" w:type="dxa"/>
            <w:right w:w="0" w:type="dxa"/>
          </w:tblCellMar>
        </w:tblPrEx>
        <w:trPr>
          <w:trHeight w:val="489" w:hRule="atLeast"/>
          <w:jc w:val="center"/>
        </w:trPr>
        <w:tc>
          <w:tcPr>
            <w:tcW w:w="515" w:type="dxa"/>
            <w:vMerge w:val="continue"/>
            <w:tcBorders>
              <w:left w:val="single" w:color="auto" w:sz="4" w:space="0"/>
              <w:bottom w:val="single" w:color="auto" w:sz="4" w:space="0"/>
              <w:right w:val="single" w:color="auto" w:sz="4" w:space="0"/>
            </w:tcBorders>
            <w:noWrap w:val="0"/>
            <w:vAlign w:val="center"/>
          </w:tcPr>
          <w:p w14:paraId="485D703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p>
        </w:tc>
        <w:tc>
          <w:tcPr>
            <w:tcW w:w="592" w:type="dxa"/>
            <w:vMerge w:val="continue"/>
            <w:tcBorders>
              <w:top w:val="nil"/>
              <w:left w:val="single" w:color="auto" w:sz="4" w:space="0"/>
              <w:bottom w:val="single" w:color="auto" w:sz="4" w:space="0"/>
              <w:right w:val="single" w:color="auto" w:sz="4" w:space="0"/>
            </w:tcBorders>
            <w:noWrap w:val="0"/>
            <w:vAlign w:val="center"/>
          </w:tcPr>
          <w:p w14:paraId="6BA7C32B">
            <w:pPr>
              <w:widowControl/>
              <w:spacing w:line="240" w:lineRule="exact"/>
              <w:jc w:val="left"/>
              <w:rPr>
                <w:rFonts w:hint="eastAsia" w:ascii="仿宋_GB2312" w:hAnsi="宋体" w:eastAsia="仿宋_GB2312" w:cs="宋体"/>
                <w:color w:val="000000"/>
                <w:kern w:val="0"/>
                <w:szCs w:val="21"/>
                <w:highlight w:val="none"/>
              </w:rPr>
            </w:pPr>
          </w:p>
        </w:tc>
        <w:tc>
          <w:tcPr>
            <w:tcW w:w="2143" w:type="dxa"/>
            <w:tcBorders>
              <w:top w:val="nil"/>
              <w:left w:val="nil"/>
              <w:bottom w:val="single" w:color="auto" w:sz="4" w:space="0"/>
              <w:right w:val="single" w:color="auto" w:sz="4" w:space="0"/>
            </w:tcBorders>
            <w:noWrap w:val="0"/>
            <w:vAlign w:val="center"/>
          </w:tcPr>
          <w:p w14:paraId="06B9081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追加费用</w:t>
            </w:r>
          </w:p>
        </w:tc>
        <w:tc>
          <w:tcPr>
            <w:tcW w:w="1734" w:type="dxa"/>
            <w:tcBorders>
              <w:top w:val="nil"/>
              <w:left w:val="nil"/>
              <w:bottom w:val="single" w:color="auto" w:sz="4" w:space="0"/>
              <w:right w:val="single" w:color="auto" w:sz="4" w:space="0"/>
            </w:tcBorders>
            <w:noWrap w:val="0"/>
            <w:vAlign w:val="center"/>
          </w:tcPr>
          <w:p w14:paraId="7A91BA1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超过5%以外的核减额、核增额</w:t>
            </w:r>
          </w:p>
        </w:tc>
        <w:tc>
          <w:tcPr>
            <w:tcW w:w="5594" w:type="dxa"/>
            <w:gridSpan w:val="7"/>
            <w:tcBorders>
              <w:top w:val="single" w:color="auto" w:sz="4" w:space="0"/>
              <w:left w:val="nil"/>
              <w:bottom w:val="single" w:color="auto" w:sz="4" w:space="0"/>
              <w:right w:val="single" w:color="auto" w:sz="4" w:space="0"/>
            </w:tcBorders>
            <w:noWrap w:val="0"/>
            <w:vAlign w:val="center"/>
          </w:tcPr>
          <w:p w14:paraId="2870EC7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eastAsia="仿宋_GB2312"/>
                <w:szCs w:val="21"/>
                <w:highlight w:val="none"/>
              </w:rPr>
              <w:t>5%</w:t>
            </w:r>
          </w:p>
        </w:tc>
      </w:tr>
      <w:tr w14:paraId="260AB536">
        <w:tblPrEx>
          <w:tblCellMar>
            <w:top w:w="0" w:type="dxa"/>
            <w:left w:w="0" w:type="dxa"/>
            <w:bottom w:w="0" w:type="dxa"/>
            <w:right w:w="0" w:type="dxa"/>
          </w:tblCellMar>
        </w:tblPrEx>
        <w:trPr>
          <w:trHeight w:val="463" w:hRule="atLeast"/>
          <w:jc w:val="center"/>
        </w:trPr>
        <w:tc>
          <w:tcPr>
            <w:tcW w:w="515" w:type="dxa"/>
            <w:tcBorders>
              <w:top w:val="nil"/>
              <w:left w:val="single" w:color="auto" w:sz="4" w:space="0"/>
              <w:bottom w:val="single" w:color="auto" w:sz="4" w:space="0"/>
              <w:right w:val="single" w:color="auto" w:sz="4" w:space="0"/>
            </w:tcBorders>
            <w:noWrap w:val="0"/>
            <w:vAlign w:val="center"/>
          </w:tcPr>
          <w:p w14:paraId="5342443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9</w:t>
            </w:r>
          </w:p>
        </w:tc>
        <w:tc>
          <w:tcPr>
            <w:tcW w:w="2735" w:type="dxa"/>
            <w:gridSpan w:val="2"/>
            <w:tcBorders>
              <w:top w:val="single" w:color="auto" w:sz="4" w:space="0"/>
              <w:left w:val="nil"/>
              <w:bottom w:val="single" w:color="auto" w:sz="4" w:space="0"/>
              <w:right w:val="single" w:color="auto" w:sz="4" w:space="0"/>
            </w:tcBorders>
            <w:noWrap w:val="0"/>
            <w:vAlign w:val="center"/>
          </w:tcPr>
          <w:p w14:paraId="3D08124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竣工决算编制或审核</w:t>
            </w:r>
          </w:p>
        </w:tc>
        <w:tc>
          <w:tcPr>
            <w:tcW w:w="1734" w:type="dxa"/>
            <w:tcBorders>
              <w:top w:val="nil"/>
              <w:left w:val="nil"/>
              <w:bottom w:val="single" w:color="auto" w:sz="4" w:space="0"/>
              <w:right w:val="single" w:color="auto" w:sz="4" w:space="0"/>
            </w:tcBorders>
            <w:noWrap w:val="0"/>
            <w:vAlign w:val="center"/>
          </w:tcPr>
          <w:p w14:paraId="65BE0FB8">
            <w:pPr>
              <w:widowControl/>
              <w:spacing w:before="100" w:beforeAutospacing="1" w:after="100" w:afterAutospacing="1" w:line="240" w:lineRule="exact"/>
              <w:jc w:val="center"/>
              <w:rPr>
                <w:rFonts w:hint="eastAsia" w:ascii="仿宋_GB2312" w:hAnsi="宋体" w:eastAsia="仿宋_GB2312" w:cs="宋体"/>
                <w:dstrike/>
                <w:color w:val="FF0000"/>
                <w:kern w:val="0"/>
                <w:szCs w:val="21"/>
                <w:highlight w:val="none"/>
              </w:rPr>
            </w:pPr>
            <w:r>
              <w:rPr>
                <w:rFonts w:hint="eastAsia" w:ascii="仿宋_GB2312" w:hAnsi="宋体" w:eastAsia="仿宋_GB2312" w:cs="宋体"/>
                <w:color w:val="000000"/>
                <w:kern w:val="0"/>
                <w:szCs w:val="21"/>
                <w:highlight w:val="none"/>
              </w:rPr>
              <w:t>建设项目总费用</w:t>
            </w:r>
          </w:p>
        </w:tc>
        <w:tc>
          <w:tcPr>
            <w:tcW w:w="814" w:type="dxa"/>
            <w:tcBorders>
              <w:top w:val="single" w:color="auto" w:sz="4" w:space="0"/>
              <w:left w:val="nil"/>
              <w:bottom w:val="single" w:color="auto" w:sz="4" w:space="0"/>
              <w:right w:val="single" w:color="auto" w:sz="4" w:space="0"/>
            </w:tcBorders>
            <w:noWrap w:val="0"/>
            <w:vAlign w:val="center"/>
          </w:tcPr>
          <w:p w14:paraId="14986EB3">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2.0</w:t>
            </w:r>
          </w:p>
        </w:tc>
        <w:tc>
          <w:tcPr>
            <w:tcW w:w="782" w:type="dxa"/>
            <w:tcBorders>
              <w:top w:val="single" w:color="auto" w:sz="4" w:space="0"/>
              <w:left w:val="nil"/>
              <w:bottom w:val="single" w:color="auto" w:sz="4" w:space="0"/>
              <w:right w:val="single" w:color="auto" w:sz="4" w:space="0"/>
            </w:tcBorders>
            <w:noWrap w:val="0"/>
            <w:vAlign w:val="center"/>
          </w:tcPr>
          <w:p w14:paraId="34EAB207">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1.6</w:t>
            </w:r>
          </w:p>
        </w:tc>
        <w:tc>
          <w:tcPr>
            <w:tcW w:w="798" w:type="dxa"/>
            <w:tcBorders>
              <w:top w:val="single" w:color="auto" w:sz="4" w:space="0"/>
              <w:left w:val="nil"/>
              <w:bottom w:val="single" w:color="auto" w:sz="4" w:space="0"/>
              <w:right w:val="single" w:color="auto" w:sz="4" w:space="0"/>
            </w:tcBorders>
            <w:noWrap w:val="0"/>
            <w:vAlign w:val="center"/>
          </w:tcPr>
          <w:p w14:paraId="5E56E86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1.2</w:t>
            </w:r>
          </w:p>
        </w:tc>
        <w:tc>
          <w:tcPr>
            <w:tcW w:w="799" w:type="dxa"/>
            <w:tcBorders>
              <w:top w:val="single" w:color="auto" w:sz="4" w:space="0"/>
              <w:left w:val="nil"/>
              <w:bottom w:val="single" w:color="auto" w:sz="4" w:space="0"/>
              <w:right w:val="single" w:color="auto" w:sz="4" w:space="0"/>
            </w:tcBorders>
            <w:noWrap w:val="0"/>
            <w:vAlign w:val="center"/>
          </w:tcPr>
          <w:p w14:paraId="16AAE1AD">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0.8</w:t>
            </w:r>
          </w:p>
        </w:tc>
        <w:tc>
          <w:tcPr>
            <w:tcW w:w="798" w:type="dxa"/>
            <w:tcBorders>
              <w:top w:val="single" w:color="auto" w:sz="4" w:space="0"/>
              <w:left w:val="nil"/>
              <w:bottom w:val="single" w:color="auto" w:sz="4" w:space="0"/>
              <w:right w:val="single" w:color="auto" w:sz="4" w:space="0"/>
            </w:tcBorders>
            <w:noWrap w:val="0"/>
            <w:vAlign w:val="center"/>
          </w:tcPr>
          <w:p w14:paraId="6C211A9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0.5</w:t>
            </w:r>
          </w:p>
        </w:tc>
        <w:tc>
          <w:tcPr>
            <w:tcW w:w="802" w:type="dxa"/>
            <w:tcBorders>
              <w:top w:val="single" w:color="auto" w:sz="4" w:space="0"/>
              <w:left w:val="nil"/>
              <w:bottom w:val="single" w:color="auto" w:sz="4" w:space="0"/>
              <w:right w:val="single" w:color="auto" w:sz="4" w:space="0"/>
            </w:tcBorders>
            <w:noWrap w:val="0"/>
            <w:vAlign w:val="center"/>
          </w:tcPr>
          <w:p w14:paraId="1243456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0.3</w:t>
            </w:r>
          </w:p>
        </w:tc>
        <w:tc>
          <w:tcPr>
            <w:tcW w:w="801" w:type="dxa"/>
            <w:tcBorders>
              <w:top w:val="single" w:color="auto" w:sz="4" w:space="0"/>
              <w:left w:val="nil"/>
              <w:bottom w:val="single" w:color="auto" w:sz="4" w:space="0"/>
              <w:right w:val="single" w:color="auto" w:sz="4" w:space="0"/>
            </w:tcBorders>
            <w:noWrap w:val="0"/>
            <w:vAlign w:val="center"/>
          </w:tcPr>
          <w:p w14:paraId="1D16C3E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0.1</w:t>
            </w:r>
          </w:p>
        </w:tc>
      </w:tr>
      <w:tr w14:paraId="0754B9E6">
        <w:tblPrEx>
          <w:tblCellMar>
            <w:top w:w="0" w:type="dxa"/>
            <w:left w:w="0" w:type="dxa"/>
            <w:bottom w:w="0" w:type="dxa"/>
            <w:right w:w="0" w:type="dxa"/>
          </w:tblCellMar>
        </w:tblPrEx>
        <w:trPr>
          <w:trHeight w:val="4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0587B10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 xml:space="preserve">10 </w:t>
            </w:r>
          </w:p>
        </w:tc>
        <w:tc>
          <w:tcPr>
            <w:tcW w:w="2735" w:type="dxa"/>
            <w:gridSpan w:val="2"/>
            <w:tcBorders>
              <w:top w:val="single" w:color="auto" w:sz="4" w:space="0"/>
              <w:left w:val="nil"/>
              <w:bottom w:val="single" w:color="auto" w:sz="4" w:space="0"/>
              <w:right w:val="single" w:color="auto" w:sz="4" w:space="0"/>
            </w:tcBorders>
            <w:noWrap w:val="0"/>
            <w:vAlign w:val="center"/>
          </w:tcPr>
          <w:p w14:paraId="32B7DF8A">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施工阶段全过程工程造价控制</w:t>
            </w:r>
          </w:p>
        </w:tc>
        <w:tc>
          <w:tcPr>
            <w:tcW w:w="1734" w:type="dxa"/>
            <w:tcBorders>
              <w:top w:val="single" w:color="auto" w:sz="4" w:space="0"/>
              <w:left w:val="nil"/>
              <w:bottom w:val="single" w:color="auto" w:sz="4" w:space="0"/>
              <w:right w:val="single" w:color="auto" w:sz="4" w:space="0"/>
            </w:tcBorders>
            <w:noWrap w:val="0"/>
            <w:vAlign w:val="center"/>
          </w:tcPr>
          <w:p w14:paraId="078F824E">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建安工程造价</w:t>
            </w:r>
          </w:p>
        </w:tc>
        <w:tc>
          <w:tcPr>
            <w:tcW w:w="814" w:type="dxa"/>
            <w:tcBorders>
              <w:top w:val="single" w:color="auto" w:sz="4" w:space="0"/>
              <w:left w:val="nil"/>
              <w:bottom w:val="single" w:color="auto" w:sz="4" w:space="0"/>
              <w:right w:val="single" w:color="auto" w:sz="4" w:space="0"/>
            </w:tcBorders>
            <w:noWrap w:val="0"/>
            <w:vAlign w:val="center"/>
          </w:tcPr>
          <w:p w14:paraId="7986BF2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12</w:t>
            </w:r>
          </w:p>
        </w:tc>
        <w:tc>
          <w:tcPr>
            <w:tcW w:w="782" w:type="dxa"/>
            <w:tcBorders>
              <w:top w:val="single" w:color="auto" w:sz="4" w:space="0"/>
              <w:left w:val="nil"/>
              <w:bottom w:val="single" w:color="auto" w:sz="4" w:space="0"/>
              <w:right w:val="single" w:color="auto" w:sz="4" w:space="0"/>
            </w:tcBorders>
            <w:noWrap w:val="0"/>
            <w:vAlign w:val="center"/>
          </w:tcPr>
          <w:p w14:paraId="51FB4B95">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11</w:t>
            </w:r>
          </w:p>
        </w:tc>
        <w:tc>
          <w:tcPr>
            <w:tcW w:w="798" w:type="dxa"/>
            <w:tcBorders>
              <w:top w:val="single" w:color="auto" w:sz="4" w:space="0"/>
              <w:left w:val="nil"/>
              <w:bottom w:val="single" w:color="auto" w:sz="4" w:space="0"/>
              <w:right w:val="single" w:color="auto" w:sz="4" w:space="0"/>
            </w:tcBorders>
            <w:noWrap w:val="0"/>
            <w:vAlign w:val="center"/>
          </w:tcPr>
          <w:p w14:paraId="499AEDD1">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c>
          <w:tcPr>
            <w:tcW w:w="799" w:type="dxa"/>
            <w:tcBorders>
              <w:top w:val="single" w:color="auto" w:sz="4" w:space="0"/>
              <w:left w:val="nil"/>
              <w:bottom w:val="single" w:color="auto" w:sz="4" w:space="0"/>
              <w:right w:val="single" w:color="auto" w:sz="4" w:space="0"/>
            </w:tcBorders>
            <w:noWrap w:val="0"/>
            <w:vAlign w:val="center"/>
          </w:tcPr>
          <w:p w14:paraId="6C428399">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9</w:t>
            </w:r>
          </w:p>
        </w:tc>
        <w:tc>
          <w:tcPr>
            <w:tcW w:w="798" w:type="dxa"/>
            <w:tcBorders>
              <w:top w:val="single" w:color="auto" w:sz="4" w:space="0"/>
              <w:left w:val="nil"/>
              <w:bottom w:val="single" w:color="auto" w:sz="4" w:space="0"/>
              <w:right w:val="single" w:color="auto" w:sz="4" w:space="0"/>
            </w:tcBorders>
            <w:noWrap w:val="0"/>
            <w:vAlign w:val="center"/>
          </w:tcPr>
          <w:p w14:paraId="7D8EDCBB">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7</w:t>
            </w:r>
          </w:p>
        </w:tc>
        <w:tc>
          <w:tcPr>
            <w:tcW w:w="802" w:type="dxa"/>
            <w:tcBorders>
              <w:top w:val="single" w:color="auto" w:sz="4" w:space="0"/>
              <w:left w:val="nil"/>
              <w:bottom w:val="single" w:color="auto" w:sz="4" w:space="0"/>
              <w:right w:val="single" w:color="auto" w:sz="4" w:space="0"/>
            </w:tcBorders>
            <w:noWrap w:val="0"/>
            <w:vAlign w:val="center"/>
          </w:tcPr>
          <w:p w14:paraId="6FA19856">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6</w:t>
            </w:r>
          </w:p>
        </w:tc>
        <w:tc>
          <w:tcPr>
            <w:tcW w:w="801" w:type="dxa"/>
            <w:tcBorders>
              <w:top w:val="single" w:color="auto" w:sz="4" w:space="0"/>
              <w:left w:val="nil"/>
              <w:bottom w:val="single" w:color="auto" w:sz="4" w:space="0"/>
              <w:right w:val="single" w:color="auto" w:sz="4" w:space="0"/>
            </w:tcBorders>
            <w:noWrap w:val="0"/>
            <w:vAlign w:val="center"/>
          </w:tcPr>
          <w:p w14:paraId="62F7CCC0">
            <w:pPr>
              <w:widowControl/>
              <w:spacing w:before="100" w:beforeAutospacing="1" w:after="100" w:afterAutospacing="1"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5</w:t>
            </w:r>
          </w:p>
        </w:tc>
      </w:tr>
    </w:tbl>
    <w:p w14:paraId="317E603E">
      <w:pPr>
        <w:pStyle w:val="14"/>
        <w:rPr>
          <w:rFonts w:hint="default"/>
          <w:color w:val="auto"/>
          <w:highlight w:val="none"/>
          <w:lang w:val="en-US" w:eastAsia="zh-CN"/>
        </w:rPr>
      </w:pPr>
    </w:p>
    <w:p w14:paraId="6086BC17">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14:paraId="75E65B22">
      <w:pPr>
        <w:spacing w:line="360" w:lineRule="auto"/>
        <w:ind w:firstLine="1606" w:firstLineChars="500"/>
        <w:jc w:val="both"/>
        <w:rPr>
          <w:rFonts w:ascii="仿宋" w:hAnsi="仿宋" w:eastAsia="仿宋"/>
          <w:b/>
          <w:color w:val="auto"/>
          <w:sz w:val="32"/>
          <w:szCs w:val="32"/>
          <w:highlight w:val="none"/>
        </w:rPr>
      </w:pPr>
      <w:r>
        <w:rPr>
          <w:rFonts w:hint="eastAsia" w:ascii="仿宋" w:hAnsi="仿宋" w:eastAsia="仿宋"/>
          <w:b/>
          <w:color w:val="auto"/>
          <w:sz w:val="32"/>
          <w:szCs w:val="32"/>
          <w:highlight w:val="none"/>
        </w:rPr>
        <w:t>第五章   投标文件要求</w:t>
      </w:r>
    </w:p>
    <w:p w14:paraId="04097B00">
      <w:pPr>
        <w:spacing w:line="360" w:lineRule="auto"/>
        <w:rPr>
          <w:rFonts w:ascii="仿宋" w:hAnsi="仿宋" w:eastAsia="仿宋"/>
          <w:color w:val="auto"/>
          <w:sz w:val="24"/>
          <w:szCs w:val="21"/>
          <w:highlight w:val="none"/>
        </w:rPr>
      </w:pPr>
      <w:r>
        <w:rPr>
          <w:rFonts w:hint="eastAsia" w:ascii="仿宋" w:hAnsi="仿宋" w:eastAsia="仿宋"/>
          <w:color w:val="auto"/>
          <w:sz w:val="24"/>
          <w:highlight w:val="none"/>
        </w:rPr>
        <w:t>一、</w:t>
      </w:r>
      <w:r>
        <w:rPr>
          <w:rFonts w:hint="eastAsia" w:ascii="仿宋" w:hAnsi="仿宋" w:eastAsia="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78831A47">
      <w:pPr>
        <w:pStyle w:val="5"/>
        <w:spacing w:line="360" w:lineRule="auto"/>
        <w:rPr>
          <w:rFonts w:ascii="仿宋" w:hAnsi="仿宋" w:eastAsia="仿宋" w:cs="Times New Roman"/>
          <w:color w:val="auto"/>
          <w:sz w:val="24"/>
          <w:szCs w:val="21"/>
          <w:highlight w:val="none"/>
        </w:rPr>
      </w:pPr>
      <w:r>
        <w:rPr>
          <w:rFonts w:hint="eastAsia" w:ascii="仿宋" w:hAnsi="仿宋" w:eastAsia="仿宋" w:cs="Times New Roman"/>
          <w:color w:val="auto"/>
          <w:sz w:val="24"/>
          <w:szCs w:val="21"/>
          <w:highlight w:val="none"/>
        </w:rPr>
        <w:t>二、投标文件的组成</w:t>
      </w:r>
    </w:p>
    <w:p w14:paraId="4C99C98F">
      <w:pPr>
        <w:pStyle w:val="5"/>
        <w:spacing w:line="360" w:lineRule="auto"/>
        <w:ind w:firstLine="360" w:firstLineChars="150"/>
        <w:rPr>
          <w:rFonts w:ascii="仿宋" w:hAnsi="仿宋" w:eastAsia="仿宋" w:cs="Times New Roman"/>
          <w:color w:val="auto"/>
          <w:sz w:val="24"/>
          <w:szCs w:val="21"/>
          <w:highlight w:val="none"/>
        </w:rPr>
      </w:pPr>
      <w:r>
        <w:rPr>
          <w:rFonts w:hint="eastAsia" w:ascii="仿宋" w:hAnsi="仿宋" w:eastAsia="仿宋" w:cs="Times New Roman"/>
          <w:color w:val="auto"/>
          <w:sz w:val="24"/>
          <w:szCs w:val="21"/>
          <w:highlight w:val="none"/>
        </w:rPr>
        <w:t>投标文件应当包括以下主要内容：技术文件、商务文件，分别装订，分开密封。</w:t>
      </w:r>
    </w:p>
    <w:p w14:paraId="10205A33">
      <w:pPr>
        <w:numPr>
          <w:ilvl w:val="0"/>
          <w:numId w:val="2"/>
        </w:numPr>
        <w:snapToGrid w:val="0"/>
        <w:spacing w:line="360" w:lineRule="auto"/>
        <w:ind w:firstLine="472" w:firstLineChars="196"/>
        <w:jc w:val="left"/>
        <w:outlineLvl w:val="0"/>
        <w:rPr>
          <w:rFonts w:hint="eastAsia" w:ascii="仿宋" w:hAnsi="仿宋" w:eastAsia="仿宋"/>
          <w:b/>
          <w:color w:val="auto"/>
          <w:sz w:val="24"/>
          <w:szCs w:val="24"/>
          <w:highlight w:val="none"/>
        </w:rPr>
      </w:pPr>
      <w:bookmarkStart w:id="5" w:name="_Hlt68072998"/>
      <w:bookmarkEnd w:id="5"/>
      <w:bookmarkStart w:id="6" w:name="_Hlt68403820"/>
      <w:bookmarkEnd w:id="6"/>
      <w:bookmarkStart w:id="7" w:name="_Hlt68073093"/>
      <w:bookmarkEnd w:id="7"/>
      <w:r>
        <w:rPr>
          <w:rFonts w:hint="eastAsia" w:ascii="仿宋" w:hAnsi="仿宋" w:eastAsia="仿宋"/>
          <w:b/>
          <w:color w:val="auto"/>
          <w:sz w:val="24"/>
          <w:szCs w:val="24"/>
          <w:highlight w:val="none"/>
        </w:rPr>
        <w:t>技术文件的组成（</w:t>
      </w:r>
      <w:r>
        <w:rPr>
          <w:rFonts w:hint="eastAsia" w:ascii="仿宋" w:hAnsi="仿宋" w:eastAsia="仿宋"/>
          <w:b/>
          <w:bCs/>
          <w:color w:val="auto"/>
          <w:sz w:val="24"/>
          <w:szCs w:val="24"/>
          <w:highlight w:val="none"/>
        </w:rPr>
        <w:t>逐页加盖公章）</w:t>
      </w:r>
    </w:p>
    <w:p w14:paraId="25C8EE09">
      <w:pPr>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1）投标单位情况介绍</w:t>
      </w:r>
    </w:p>
    <w:p w14:paraId="227ACD3B">
      <w:pPr>
        <w:spacing w:line="360" w:lineRule="auto"/>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val="zh-CN"/>
        </w:rPr>
        <w:t>）有效的投标方营业执照复印件；</w:t>
      </w:r>
    </w:p>
    <w:p w14:paraId="6D23238D">
      <w:pPr>
        <w:spacing w:line="360" w:lineRule="auto"/>
        <w:ind w:firstLine="480" w:firstLineChars="200"/>
        <w:rPr>
          <w:rFonts w:hint="eastAsia" w:ascii="仿宋" w:hAnsi="仿宋" w:eastAsia="仿宋"/>
          <w:color w:val="auto"/>
          <w:sz w:val="24"/>
          <w:highlight w:val="none"/>
          <w:lang w:val="zh-CN" w:eastAsia="zh-CN"/>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val="zh-CN"/>
        </w:rPr>
        <w:t>）法定代表人资格申明书、法定代表人身份证复印件；（适用于法定代表人出席投标会）</w:t>
      </w:r>
      <w:r>
        <w:rPr>
          <w:rFonts w:hint="eastAsia" w:ascii="仿宋" w:hAnsi="仿宋" w:eastAsia="仿宋"/>
          <w:color w:val="auto"/>
          <w:sz w:val="24"/>
          <w:highlight w:val="none"/>
          <w:lang w:val="zh-CN" w:eastAsia="zh-CN"/>
        </w:rPr>
        <w:t>；</w:t>
      </w:r>
    </w:p>
    <w:p w14:paraId="4C46AA09">
      <w:pPr>
        <w:spacing w:line="360" w:lineRule="auto"/>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lang w:val="zh-CN"/>
        </w:rPr>
        <w:t>）授权委托书、授权代表身份证复印件；（适用于授权代表出席投标会）；</w:t>
      </w:r>
    </w:p>
    <w:p w14:paraId="738801EE">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val="zh-CN"/>
        </w:rPr>
        <w:t>） 投标单位工作内容描述</w:t>
      </w:r>
    </w:p>
    <w:p w14:paraId="0EC9AF84">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①概述：简述本项目适用的有关政策、法规以及工作流程等资料；</w:t>
      </w:r>
    </w:p>
    <w:p w14:paraId="0EDE909B">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②目标：说明本项目计划达到的目标；</w:t>
      </w:r>
    </w:p>
    <w:p w14:paraId="275813C7">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③工作范围：详细说明投标单位应当完成的代理任务和具体要求；</w:t>
      </w:r>
    </w:p>
    <w:p w14:paraId="2CBE82B0">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④培训要求：如果需要人员培训（对新的政策、法律、法规、招标程序以及委托人的要求），说明投标单位在人员培训方面应做的工作；</w:t>
      </w:r>
    </w:p>
    <w:p w14:paraId="35708231">
      <w:pPr>
        <w:spacing w:line="360" w:lineRule="auto"/>
        <w:ind w:firstLine="840" w:firstLineChars="35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zh-CN"/>
        </w:rPr>
        <w:t>⑤进度与报告：关于工作的招标时间工作安排和工作进展情况报告的要求；</w:t>
      </w:r>
      <w:r>
        <w:rPr>
          <w:rFonts w:hint="eastAsia" w:ascii="仿宋" w:hAnsi="仿宋" w:eastAsia="仿宋"/>
          <w:color w:val="auto"/>
          <w:sz w:val="24"/>
          <w:highlight w:val="none"/>
          <w:lang w:val="en-US" w:eastAsia="zh-CN"/>
        </w:rPr>
        <w:t xml:space="preserve"> </w:t>
      </w:r>
    </w:p>
    <w:p w14:paraId="05B32F82">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⑥ 招标代理过程与各方的沟通的保证措施；</w:t>
      </w:r>
    </w:p>
    <w:p w14:paraId="6938437B">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⑦ 投诉处理方案、招标代理资料的合法性、完整性与及时性保证措施；</w:t>
      </w:r>
    </w:p>
    <w:p w14:paraId="26A5589F">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⑧对代理服务的其他建议、要求；</w:t>
      </w:r>
    </w:p>
    <w:p w14:paraId="2329A05A">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lang w:val="zh-CN"/>
        </w:rPr>
        <w:t>）投标单位人员分工与职责</w:t>
      </w:r>
    </w:p>
    <w:p w14:paraId="60364A85">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①投标单位服务人员工作守则；</w:t>
      </w:r>
    </w:p>
    <w:p w14:paraId="53D1BFB4">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②投标单位服务人员分工与职责；</w:t>
      </w:r>
    </w:p>
    <w:p w14:paraId="63634B99">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lang w:val="zh-CN"/>
        </w:rPr>
        <w:t>）投标服务人员资历、业绩情况</w:t>
      </w:r>
    </w:p>
    <w:p w14:paraId="08B72392">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①投标服务人员汇总表；</w:t>
      </w:r>
    </w:p>
    <w:p w14:paraId="39B8673B">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②项目负责人情况；</w:t>
      </w:r>
    </w:p>
    <w:p w14:paraId="4A756511">
      <w:pPr>
        <w:spacing w:line="360" w:lineRule="auto"/>
        <w:ind w:firstLine="840" w:firstLineChars="350"/>
        <w:rPr>
          <w:rFonts w:ascii="仿宋" w:hAnsi="仿宋" w:eastAsia="仿宋"/>
          <w:color w:val="auto"/>
          <w:sz w:val="24"/>
          <w:highlight w:val="none"/>
          <w:lang w:val="zh-CN"/>
        </w:rPr>
      </w:pPr>
      <w:r>
        <w:rPr>
          <w:rFonts w:hint="eastAsia" w:ascii="仿宋" w:hAnsi="仿宋" w:eastAsia="仿宋"/>
          <w:color w:val="auto"/>
          <w:sz w:val="24"/>
          <w:highlight w:val="none"/>
          <w:lang w:val="zh-CN"/>
        </w:rPr>
        <w:t>③相关证明材料文件（人员资质证书、学历等）；</w:t>
      </w:r>
    </w:p>
    <w:p w14:paraId="10F1822C">
      <w:pPr>
        <w:pStyle w:val="5"/>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lang w:val="zh-CN"/>
        </w:rPr>
        <w:t>）提供：近三年</w:t>
      </w:r>
      <w:r>
        <w:rPr>
          <w:rFonts w:hint="eastAsia" w:ascii="仿宋" w:hAnsi="仿宋" w:eastAsia="仿宋"/>
          <w:b w:val="0"/>
          <w:bCs w:val="0"/>
          <w:color w:val="auto"/>
          <w:sz w:val="24"/>
          <w:highlight w:val="none"/>
          <w:lang w:val="zh-CN"/>
        </w:rPr>
        <w:t>来企事业单位工程类项</w:t>
      </w:r>
      <w:r>
        <w:rPr>
          <w:rFonts w:hint="eastAsia" w:ascii="仿宋" w:hAnsi="仿宋" w:eastAsia="仿宋"/>
          <w:color w:val="auto"/>
          <w:sz w:val="24"/>
          <w:highlight w:val="none"/>
          <w:lang w:val="zh-CN"/>
        </w:rPr>
        <w:t>目招标代理服务的业绩表 (合同复印件加盖公章)。</w:t>
      </w:r>
    </w:p>
    <w:p w14:paraId="0F38AF89">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lang w:val="zh-CN"/>
        </w:rPr>
        <w:t>)投标人自20</w:t>
      </w:r>
      <w:r>
        <w:rPr>
          <w:rFonts w:hint="eastAsia" w:ascii="仿宋" w:hAnsi="仿宋" w:eastAsia="仿宋"/>
          <w:color w:val="auto"/>
          <w:sz w:val="24"/>
          <w:highlight w:val="none"/>
          <w:lang w:val="en-US" w:eastAsia="zh-CN"/>
        </w:rPr>
        <w:t>22</w:t>
      </w:r>
      <w:r>
        <w:rPr>
          <w:rFonts w:hint="eastAsia" w:ascii="仿宋" w:hAnsi="仿宋" w:eastAsia="仿宋"/>
          <w:color w:val="auto"/>
          <w:sz w:val="24"/>
          <w:highlight w:val="none"/>
          <w:lang w:val="zh-CN"/>
        </w:rPr>
        <w:t>年1月1日起到中标公告期结束前无行贿犯罪记录（通过中国裁判文书网（http://wenshu.court.gov.cn/）查询，查询结果以网站页面显示内容为</w:t>
      </w:r>
      <w:r>
        <w:rPr>
          <w:rFonts w:hint="eastAsia" w:ascii="仿宋" w:hAnsi="仿宋" w:eastAsia="仿宋"/>
          <w:color w:val="auto"/>
          <w:sz w:val="24"/>
          <w:highlight w:val="none"/>
          <w:lang w:val="zh-CN"/>
        </w:rPr>
        <w:t>准）</w:t>
      </w:r>
    </w:p>
    <w:p w14:paraId="28CFF93D">
      <w:pPr>
        <w:spacing w:line="360" w:lineRule="auto"/>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lang w:val="zh-CN"/>
        </w:rPr>
        <w:t>招标人要求提交的其他资料或投标人认为可以提供的其他资料。</w:t>
      </w:r>
    </w:p>
    <w:p w14:paraId="3F4C3640">
      <w:pPr>
        <w:spacing w:line="360" w:lineRule="auto"/>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lang w:val="zh-CN"/>
        </w:rPr>
        <w:t>)</w:t>
      </w:r>
      <w:r>
        <w:rPr>
          <w:rFonts w:hint="eastAsia" w:ascii="仿宋" w:hAnsi="仿宋" w:eastAsia="仿宋"/>
          <w:color w:val="auto"/>
          <w:sz w:val="24"/>
          <w:highlight w:val="none"/>
          <w:lang w:val="zh-CN" w:eastAsia="zh-CN"/>
        </w:rPr>
        <w:t>提供工商登记股东清单加盖单位公章</w:t>
      </w:r>
    </w:p>
    <w:p w14:paraId="1BCBAF91">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注：所有资信业绩材料复印件必须和原件一致，若无原件或与原件不一致，则不进入评分。</w:t>
      </w:r>
    </w:p>
    <w:p w14:paraId="6AB217AB">
      <w:pPr>
        <w:snapToGrid w:val="0"/>
        <w:spacing w:line="360" w:lineRule="auto"/>
        <w:ind w:firstLine="472" w:firstLineChars="196"/>
        <w:jc w:val="left"/>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（二）商务文件的组成（</w:t>
      </w:r>
      <w:r>
        <w:rPr>
          <w:rFonts w:hint="eastAsia" w:ascii="仿宋" w:hAnsi="仿宋" w:eastAsia="仿宋"/>
          <w:b/>
          <w:bCs/>
          <w:color w:val="auto"/>
          <w:sz w:val="24"/>
          <w:szCs w:val="24"/>
          <w:highlight w:val="none"/>
        </w:rPr>
        <w:t>逐页加盖公章）</w:t>
      </w:r>
    </w:p>
    <w:p w14:paraId="226FB9E4">
      <w:pPr>
        <w:pStyle w:val="5"/>
        <w:spacing w:line="360" w:lineRule="auto"/>
        <w:ind w:firstLine="592" w:firstLineChars="247"/>
        <w:rPr>
          <w:rFonts w:ascii="仿宋" w:hAnsi="仿宋" w:eastAsia="仿宋" w:cs="Times New Roman"/>
          <w:color w:val="auto"/>
          <w:sz w:val="24"/>
          <w:szCs w:val="20"/>
          <w:highlight w:val="none"/>
          <w:lang w:val="zh-CN"/>
        </w:rPr>
      </w:pPr>
      <w:r>
        <w:rPr>
          <w:rFonts w:ascii="仿宋" w:hAnsi="仿宋" w:eastAsia="仿宋" w:cs="Times New Roman"/>
          <w:color w:val="auto"/>
          <w:sz w:val="24"/>
          <w:szCs w:val="20"/>
          <w:highlight w:val="none"/>
          <w:lang w:val="zh-CN"/>
        </w:rPr>
        <w:t>1）投标函；</w:t>
      </w:r>
    </w:p>
    <w:p w14:paraId="30A2A199">
      <w:pPr>
        <w:pStyle w:val="5"/>
        <w:spacing w:line="360" w:lineRule="auto"/>
        <w:ind w:firstLine="592" w:firstLineChars="247"/>
        <w:rPr>
          <w:rFonts w:ascii="仿宋" w:hAnsi="仿宋" w:eastAsia="仿宋" w:cs="Times New Roman"/>
          <w:color w:val="auto"/>
          <w:sz w:val="24"/>
          <w:szCs w:val="20"/>
          <w:highlight w:val="none"/>
          <w:lang w:val="zh-CN"/>
        </w:rPr>
      </w:pPr>
      <w:r>
        <w:rPr>
          <w:rFonts w:ascii="仿宋" w:hAnsi="仿宋" w:eastAsia="仿宋" w:cs="Times New Roman"/>
          <w:color w:val="auto"/>
          <w:sz w:val="24"/>
          <w:szCs w:val="20"/>
          <w:highlight w:val="none"/>
          <w:lang w:val="zh-CN"/>
        </w:rPr>
        <w:t>2）报价一览表；</w:t>
      </w:r>
    </w:p>
    <w:p w14:paraId="5941BCE8">
      <w:pPr>
        <w:pStyle w:val="5"/>
        <w:spacing w:line="360" w:lineRule="auto"/>
        <w:ind w:firstLine="592" w:firstLineChars="247"/>
        <w:rPr>
          <w:rFonts w:ascii="仿宋" w:hAnsi="仿宋" w:eastAsia="仿宋" w:cs="Times New Roman"/>
          <w:color w:val="auto"/>
          <w:sz w:val="24"/>
          <w:szCs w:val="20"/>
          <w:highlight w:val="none"/>
          <w:lang w:val="zh-CN"/>
        </w:rPr>
      </w:pPr>
      <w:r>
        <w:rPr>
          <w:rFonts w:ascii="仿宋" w:hAnsi="仿宋" w:eastAsia="仿宋" w:cs="Times New Roman"/>
          <w:color w:val="auto"/>
          <w:sz w:val="24"/>
          <w:szCs w:val="20"/>
          <w:highlight w:val="none"/>
          <w:lang w:val="zh-CN"/>
        </w:rPr>
        <w:t>3）其他投标人认为须提供的资料。</w:t>
      </w:r>
    </w:p>
    <w:p w14:paraId="54427694">
      <w:pPr>
        <w:widowControl/>
        <w:spacing w:line="420" w:lineRule="atLeas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三、投标文件制作要求</w:t>
      </w:r>
    </w:p>
    <w:p w14:paraId="0F17DAC5">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1、投标文件正本必须用不</w:t>
      </w:r>
      <w:r>
        <w:rPr>
          <w:rFonts w:hint="eastAsia" w:ascii="仿宋" w:hAnsi="仿宋" w:eastAsia="仿宋" w:cs="宋体"/>
          <w:color w:val="auto"/>
          <w:kern w:val="0"/>
          <w:sz w:val="24"/>
          <w:szCs w:val="24"/>
          <w:highlight w:val="none"/>
          <w:lang w:eastAsia="zh-CN"/>
        </w:rPr>
        <w:t>褪色</w:t>
      </w:r>
      <w:r>
        <w:rPr>
          <w:rFonts w:hint="eastAsia" w:ascii="仿宋" w:hAnsi="仿宋" w:eastAsia="仿宋" w:cs="宋体"/>
          <w:color w:val="auto"/>
          <w:kern w:val="0"/>
          <w:sz w:val="24"/>
          <w:szCs w:val="24"/>
          <w:highlight w:val="none"/>
        </w:rPr>
        <w:t>的墨水填写或打印，幅面规格A4并装订成册，副本可用复印件。投标文件须一式</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份（正本1份，副本</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份），分别标明“正本”“副本”。正本与副本如有差别，以正本为准，责任由投标人自负。</w:t>
      </w:r>
    </w:p>
    <w:p w14:paraId="3D52DCC4">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2、投标文件中不许有加行、涂抹或改写。若修改错漏处，须由法定代表人或其授权代表签字并加盖单位公章方可生效。</w:t>
      </w:r>
    </w:p>
    <w:p w14:paraId="7A08F9F1">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3、投标文件封面应标明“正本”或“副本”字样。</w:t>
      </w:r>
    </w:p>
    <w:p w14:paraId="679D2B11">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w:t>
      </w:r>
      <w:r>
        <w:rPr>
          <w:rFonts w:hint="eastAsia" w:ascii="仿宋" w:hAnsi="仿宋" w:eastAsia="仿宋" w:cs="宋体"/>
          <w:b/>
          <w:bCs/>
          <w:color w:val="auto"/>
          <w:kern w:val="0"/>
          <w:sz w:val="24"/>
          <w:szCs w:val="24"/>
          <w:highlight w:val="none"/>
        </w:rPr>
        <w:t>全部投标文件应装入同一密封袋内，密封包装，封口处应有投标人法定代表人或其授权代表签字并加盖投标单位公章；</w:t>
      </w:r>
      <w:r>
        <w:rPr>
          <w:rFonts w:hint="eastAsia" w:ascii="仿宋" w:hAnsi="仿宋" w:eastAsia="仿宋" w:cs="宋体"/>
          <w:bCs/>
          <w:color w:val="auto"/>
          <w:kern w:val="0"/>
          <w:sz w:val="24"/>
          <w:szCs w:val="24"/>
          <w:highlight w:val="none"/>
        </w:rPr>
        <w:t>封面注明招标项目名称和编号，投标人的名称、地址、邮编、传真、联系电话、联系人</w:t>
      </w:r>
      <w:r>
        <w:rPr>
          <w:rFonts w:hint="eastAsia" w:ascii="仿宋" w:hAnsi="仿宋" w:eastAsia="仿宋" w:cs="宋体"/>
          <w:b/>
          <w:bCs/>
          <w:color w:val="auto"/>
          <w:kern w:val="0"/>
          <w:sz w:val="24"/>
          <w:szCs w:val="24"/>
          <w:highlight w:val="none"/>
        </w:rPr>
        <w:t>。</w:t>
      </w:r>
    </w:p>
    <w:p w14:paraId="37B011AD">
      <w:pPr>
        <w:widowControl/>
        <w:spacing w:line="420" w:lineRule="atLeas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xml:space="preserve">四 、投标文件的送达时间 </w:t>
      </w:r>
    </w:p>
    <w:p w14:paraId="7D5CD1A7">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1、开标地点即为投标文件的递交地点，招标人在投标截止时间前一小时内接收投标文件。</w:t>
      </w:r>
    </w:p>
    <w:p w14:paraId="7B82C097">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2、招标方将拒绝在投标截止时间后收到的投标文件。</w:t>
      </w:r>
    </w:p>
    <w:p w14:paraId="520D72EB">
      <w:pPr>
        <w:widowControl/>
        <w:spacing w:line="420" w:lineRule="atLeas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五、投标单位有下列情况之一的，</w:t>
      </w:r>
      <w:r>
        <w:rPr>
          <w:rFonts w:hint="eastAsia" w:ascii="仿宋" w:hAnsi="仿宋" w:eastAsia="仿宋" w:cs="宋体"/>
          <w:color w:val="auto"/>
          <w:kern w:val="0"/>
          <w:sz w:val="24"/>
          <w:szCs w:val="24"/>
          <w:highlight w:val="none"/>
          <w:lang w:val="en-GB"/>
        </w:rPr>
        <w:t>其投标将可能被拒绝或作无效投标处理：</w:t>
      </w:r>
    </w:p>
    <w:p w14:paraId="36FB00EA">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1、未在规定时间内将投标书送达规定地点的。</w:t>
      </w:r>
    </w:p>
    <w:p w14:paraId="2E16FE34">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2、投标书未按规定密封或未按要求加盖公章或投标文件签署不符合要求的。</w:t>
      </w:r>
    </w:p>
    <w:p w14:paraId="647EEC0A">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3、投标文件无法人代表签字或签字无法人代表有效委托的。</w:t>
      </w:r>
    </w:p>
    <w:p w14:paraId="1E525A94">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4、投标单位不符合投标单位资格要求的。</w:t>
      </w:r>
    </w:p>
    <w:p w14:paraId="12C1E407">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5、投标单位不符合产品报价要求的。</w:t>
      </w:r>
    </w:p>
    <w:p w14:paraId="26EB5291">
      <w:pPr>
        <w:widowControl/>
        <w:spacing w:line="420" w:lineRule="atLeast"/>
        <w:ind w:firstLine="48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6、投标文件中提供伪造、虚假材料的。</w:t>
      </w:r>
    </w:p>
    <w:p w14:paraId="4E443077">
      <w:pPr>
        <w:widowControl/>
        <w:spacing w:line="420" w:lineRule="atLeast"/>
        <w:ind w:firstLine="480"/>
        <w:rPr>
          <w:rFonts w:ascii="仿宋" w:hAnsi="仿宋" w:eastAsia="仿宋"/>
          <w:color w:val="auto"/>
          <w:sz w:val="24"/>
          <w:highlight w:val="none"/>
        </w:rPr>
      </w:pPr>
      <w:r>
        <w:rPr>
          <w:rFonts w:hint="eastAsia" w:ascii="仿宋" w:hAnsi="仿宋" w:eastAsia="仿宋" w:cs="宋体"/>
          <w:color w:val="auto"/>
          <w:kern w:val="0"/>
          <w:sz w:val="24"/>
          <w:szCs w:val="24"/>
          <w:highlight w:val="none"/>
        </w:rPr>
        <w:t>7、投标报价经评标小组认定明显不合理的。</w:t>
      </w:r>
    </w:p>
    <w:p w14:paraId="56811766">
      <w:pPr>
        <w:snapToGrid w:val="0"/>
        <w:spacing w:line="360" w:lineRule="auto"/>
        <w:rPr>
          <w:rFonts w:ascii="仿宋" w:hAnsi="仿宋" w:eastAsia="仿宋"/>
          <w:color w:val="auto"/>
          <w:sz w:val="24"/>
          <w:highlight w:val="none"/>
        </w:rPr>
      </w:pPr>
    </w:p>
    <w:p w14:paraId="09417864">
      <w:pPr>
        <w:widowControl/>
        <w:spacing w:line="420" w:lineRule="atLeast"/>
        <w:rPr>
          <w:rFonts w:ascii="仿宋" w:hAnsi="仿宋" w:eastAsia="仿宋" w:cs="宋体"/>
          <w:color w:val="auto"/>
          <w:kern w:val="0"/>
          <w:sz w:val="24"/>
          <w:szCs w:val="24"/>
          <w:highlight w:val="none"/>
        </w:rPr>
      </w:pPr>
    </w:p>
    <w:p w14:paraId="77995E2F">
      <w:pPr>
        <w:widowControl/>
        <w:spacing w:line="420" w:lineRule="atLeast"/>
        <w:rPr>
          <w:rFonts w:ascii="仿宋" w:hAnsi="仿宋" w:eastAsia="仿宋" w:cs="宋体"/>
          <w:color w:val="auto"/>
          <w:kern w:val="0"/>
          <w:sz w:val="24"/>
          <w:szCs w:val="24"/>
          <w:highlight w:val="none"/>
        </w:rPr>
      </w:pPr>
    </w:p>
    <w:p w14:paraId="688CCA01">
      <w:pPr>
        <w:widowControl/>
        <w:spacing w:line="420" w:lineRule="atLeast"/>
        <w:rPr>
          <w:rFonts w:ascii="仿宋" w:hAnsi="仿宋" w:eastAsia="仿宋" w:cs="宋体"/>
          <w:color w:val="auto"/>
          <w:kern w:val="0"/>
          <w:sz w:val="24"/>
          <w:szCs w:val="24"/>
          <w:highlight w:val="none"/>
        </w:rPr>
      </w:pPr>
    </w:p>
    <w:p w14:paraId="6EF0946A">
      <w:pPr>
        <w:widowControl/>
        <w:spacing w:line="420" w:lineRule="atLeast"/>
        <w:ind w:firstLine="480"/>
        <w:rPr>
          <w:rFonts w:ascii="仿宋" w:hAnsi="仿宋" w:eastAsia="仿宋" w:cs="宋体"/>
          <w:color w:val="auto"/>
          <w:kern w:val="0"/>
          <w:sz w:val="24"/>
          <w:szCs w:val="24"/>
          <w:highlight w:val="none"/>
        </w:rPr>
      </w:pPr>
    </w:p>
    <w:p w14:paraId="4F197EB9">
      <w:pPr>
        <w:widowControl/>
        <w:spacing w:line="420" w:lineRule="atLeast"/>
        <w:ind w:firstLine="480"/>
        <w:rPr>
          <w:rFonts w:ascii="仿宋" w:hAnsi="仿宋" w:eastAsia="仿宋" w:cs="宋体"/>
          <w:color w:val="auto"/>
          <w:kern w:val="0"/>
          <w:sz w:val="24"/>
          <w:szCs w:val="24"/>
          <w:highlight w:val="none"/>
        </w:rPr>
      </w:pPr>
    </w:p>
    <w:p w14:paraId="76DE24E9">
      <w:pPr>
        <w:widowControl/>
        <w:spacing w:line="420" w:lineRule="atLeast"/>
        <w:ind w:firstLine="480"/>
        <w:rPr>
          <w:rFonts w:ascii="仿宋" w:hAnsi="仿宋" w:eastAsia="仿宋" w:cs="宋体"/>
          <w:color w:val="auto"/>
          <w:kern w:val="0"/>
          <w:sz w:val="24"/>
          <w:szCs w:val="24"/>
          <w:highlight w:val="none"/>
        </w:rPr>
      </w:pPr>
    </w:p>
    <w:p w14:paraId="476B82F6">
      <w:pPr>
        <w:widowControl/>
        <w:spacing w:line="420" w:lineRule="atLeast"/>
        <w:ind w:firstLine="480"/>
        <w:rPr>
          <w:rFonts w:ascii="仿宋" w:hAnsi="仿宋" w:eastAsia="仿宋" w:cs="宋体"/>
          <w:color w:val="auto"/>
          <w:kern w:val="0"/>
          <w:sz w:val="24"/>
          <w:szCs w:val="24"/>
          <w:highlight w:val="none"/>
        </w:rPr>
      </w:pPr>
    </w:p>
    <w:p w14:paraId="066B4543">
      <w:pPr>
        <w:widowControl/>
        <w:spacing w:line="420" w:lineRule="atLeast"/>
        <w:ind w:firstLine="480"/>
        <w:rPr>
          <w:rFonts w:ascii="仿宋" w:hAnsi="仿宋" w:eastAsia="仿宋" w:cs="宋体"/>
          <w:color w:val="auto"/>
          <w:kern w:val="0"/>
          <w:sz w:val="24"/>
          <w:szCs w:val="24"/>
          <w:highlight w:val="none"/>
        </w:rPr>
      </w:pPr>
    </w:p>
    <w:p w14:paraId="3EAEB156">
      <w:pPr>
        <w:widowControl/>
        <w:spacing w:line="420" w:lineRule="atLeast"/>
        <w:ind w:firstLine="480"/>
        <w:rPr>
          <w:rFonts w:ascii="仿宋" w:hAnsi="仿宋" w:eastAsia="仿宋" w:cs="宋体"/>
          <w:color w:val="auto"/>
          <w:kern w:val="0"/>
          <w:sz w:val="24"/>
          <w:szCs w:val="24"/>
          <w:highlight w:val="none"/>
        </w:rPr>
      </w:pPr>
    </w:p>
    <w:p w14:paraId="0F17868C">
      <w:pPr>
        <w:widowControl/>
        <w:spacing w:line="420" w:lineRule="atLeast"/>
        <w:ind w:firstLine="480"/>
        <w:rPr>
          <w:rFonts w:ascii="仿宋" w:hAnsi="仿宋" w:eastAsia="仿宋" w:cs="宋体"/>
          <w:color w:val="auto"/>
          <w:kern w:val="0"/>
          <w:sz w:val="24"/>
          <w:szCs w:val="24"/>
          <w:highlight w:val="none"/>
        </w:rPr>
      </w:pPr>
    </w:p>
    <w:p w14:paraId="6D550287">
      <w:pPr>
        <w:widowControl/>
        <w:spacing w:line="420" w:lineRule="atLeast"/>
        <w:ind w:firstLine="480"/>
        <w:rPr>
          <w:rFonts w:ascii="仿宋" w:hAnsi="仿宋" w:eastAsia="仿宋" w:cs="宋体"/>
          <w:color w:val="auto"/>
          <w:kern w:val="0"/>
          <w:sz w:val="24"/>
          <w:szCs w:val="24"/>
          <w:highlight w:val="none"/>
        </w:rPr>
      </w:pPr>
    </w:p>
    <w:p w14:paraId="7FAB275C">
      <w:pPr>
        <w:widowControl/>
        <w:spacing w:line="420" w:lineRule="atLeast"/>
        <w:ind w:firstLine="480"/>
        <w:rPr>
          <w:rFonts w:ascii="仿宋" w:hAnsi="仿宋" w:eastAsia="仿宋" w:cs="宋体"/>
          <w:color w:val="auto"/>
          <w:kern w:val="0"/>
          <w:sz w:val="24"/>
          <w:szCs w:val="24"/>
          <w:highlight w:val="none"/>
        </w:rPr>
      </w:pPr>
    </w:p>
    <w:p w14:paraId="7DC1F305">
      <w:pPr>
        <w:widowControl/>
        <w:spacing w:line="420" w:lineRule="atLeast"/>
        <w:ind w:firstLine="480"/>
        <w:rPr>
          <w:rFonts w:ascii="仿宋" w:hAnsi="仿宋" w:eastAsia="仿宋" w:cs="宋体"/>
          <w:color w:val="auto"/>
          <w:kern w:val="0"/>
          <w:sz w:val="24"/>
          <w:szCs w:val="24"/>
          <w:highlight w:val="none"/>
        </w:rPr>
      </w:pPr>
    </w:p>
    <w:p w14:paraId="3A648A22">
      <w:pPr>
        <w:widowControl/>
        <w:spacing w:line="420" w:lineRule="atLeast"/>
        <w:ind w:firstLine="480"/>
        <w:rPr>
          <w:rFonts w:ascii="仿宋" w:hAnsi="仿宋" w:eastAsia="仿宋" w:cs="宋体"/>
          <w:color w:val="auto"/>
          <w:kern w:val="0"/>
          <w:sz w:val="24"/>
          <w:szCs w:val="24"/>
          <w:highlight w:val="none"/>
        </w:rPr>
      </w:pPr>
    </w:p>
    <w:p w14:paraId="37079D40">
      <w:pPr>
        <w:widowControl/>
        <w:spacing w:line="420" w:lineRule="atLeast"/>
        <w:ind w:firstLine="480"/>
        <w:rPr>
          <w:rFonts w:ascii="仿宋" w:hAnsi="仿宋" w:eastAsia="仿宋" w:cs="宋体"/>
          <w:color w:val="auto"/>
          <w:kern w:val="0"/>
          <w:sz w:val="24"/>
          <w:szCs w:val="24"/>
          <w:highlight w:val="none"/>
        </w:rPr>
      </w:pPr>
    </w:p>
    <w:p w14:paraId="454DF64F">
      <w:pPr>
        <w:widowControl/>
        <w:spacing w:line="420" w:lineRule="atLeast"/>
        <w:ind w:firstLine="480"/>
        <w:rPr>
          <w:rFonts w:ascii="仿宋" w:hAnsi="仿宋" w:eastAsia="仿宋" w:cs="宋体"/>
          <w:color w:val="auto"/>
          <w:kern w:val="0"/>
          <w:sz w:val="24"/>
          <w:szCs w:val="24"/>
          <w:highlight w:val="none"/>
        </w:rPr>
      </w:pPr>
    </w:p>
    <w:p w14:paraId="3944D33C">
      <w:pPr>
        <w:widowControl/>
        <w:spacing w:line="420" w:lineRule="atLeast"/>
        <w:ind w:firstLine="480"/>
        <w:rPr>
          <w:rFonts w:ascii="仿宋" w:hAnsi="仿宋" w:eastAsia="仿宋" w:cs="宋体"/>
          <w:color w:val="auto"/>
          <w:kern w:val="0"/>
          <w:sz w:val="24"/>
          <w:szCs w:val="24"/>
          <w:highlight w:val="none"/>
        </w:rPr>
      </w:pPr>
    </w:p>
    <w:p w14:paraId="5DE0909A">
      <w:pPr>
        <w:widowControl/>
        <w:spacing w:line="420" w:lineRule="atLeast"/>
        <w:ind w:firstLine="480"/>
        <w:rPr>
          <w:rFonts w:ascii="仿宋" w:hAnsi="仿宋" w:eastAsia="仿宋" w:cs="宋体"/>
          <w:color w:val="auto"/>
          <w:kern w:val="0"/>
          <w:sz w:val="24"/>
          <w:szCs w:val="24"/>
          <w:highlight w:val="none"/>
        </w:rPr>
      </w:pPr>
    </w:p>
    <w:p w14:paraId="434ECF98">
      <w:pPr>
        <w:widowControl/>
        <w:spacing w:line="420" w:lineRule="atLeast"/>
        <w:ind w:firstLine="480"/>
        <w:rPr>
          <w:rFonts w:ascii="仿宋" w:hAnsi="仿宋" w:eastAsia="仿宋" w:cs="宋体"/>
          <w:color w:val="auto"/>
          <w:kern w:val="0"/>
          <w:sz w:val="24"/>
          <w:szCs w:val="24"/>
          <w:highlight w:val="none"/>
        </w:rPr>
      </w:pPr>
    </w:p>
    <w:p w14:paraId="59C8DA47">
      <w:pPr>
        <w:widowControl/>
        <w:spacing w:line="420" w:lineRule="atLeast"/>
        <w:rPr>
          <w:rFonts w:ascii="仿宋" w:hAnsi="仿宋" w:eastAsia="仿宋" w:cs="宋体"/>
          <w:color w:val="auto"/>
          <w:kern w:val="0"/>
          <w:sz w:val="24"/>
          <w:szCs w:val="24"/>
          <w:highlight w:val="none"/>
        </w:rPr>
      </w:pPr>
    </w:p>
    <w:p w14:paraId="7FF91AF7">
      <w:pPr>
        <w:pStyle w:val="14"/>
        <w:rPr>
          <w:color w:val="auto"/>
          <w:highlight w:val="none"/>
        </w:rPr>
      </w:pPr>
    </w:p>
    <w:p w14:paraId="71F40322">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14:paraId="31493625">
      <w:pPr>
        <w:spacing w:line="360" w:lineRule="auto"/>
        <w:ind w:firstLine="2570" w:firstLineChars="800"/>
        <w:jc w:val="both"/>
        <w:rPr>
          <w:rFonts w:ascii="仿宋" w:hAnsi="仿宋" w:eastAsia="仿宋"/>
          <w:b/>
          <w:color w:val="auto"/>
          <w:sz w:val="32"/>
          <w:szCs w:val="32"/>
          <w:highlight w:val="none"/>
        </w:rPr>
      </w:pPr>
      <w:r>
        <w:rPr>
          <w:rFonts w:hint="eastAsia" w:ascii="仿宋" w:hAnsi="仿宋" w:eastAsia="仿宋"/>
          <w:b/>
          <w:color w:val="auto"/>
          <w:sz w:val="32"/>
          <w:szCs w:val="32"/>
          <w:highlight w:val="none"/>
        </w:rPr>
        <w:t>第六章   评分办法</w:t>
      </w:r>
    </w:p>
    <w:p w14:paraId="782DB7B3">
      <w:pPr>
        <w:widowControl/>
        <w:spacing w:line="420" w:lineRule="atLeast"/>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本项目总分为100分。其中技术分70分、商务报价30分。</w:t>
      </w:r>
      <w:r>
        <w:rPr>
          <w:rFonts w:hint="eastAsia" w:ascii="仿宋" w:hAnsi="仿宋" w:eastAsia="仿宋" w:cs="宋体"/>
          <w:color w:val="auto"/>
          <w:sz w:val="24"/>
          <w:szCs w:val="24"/>
          <w:highlight w:val="none"/>
        </w:rPr>
        <w:t>合格投标人的综合得分为各</w:t>
      </w:r>
      <w:r>
        <w:rPr>
          <w:rFonts w:hint="eastAsia" w:ascii="仿宋" w:hAnsi="仿宋" w:eastAsia="仿宋" w:cs="宋体"/>
          <w:color w:val="auto"/>
          <w:sz w:val="24"/>
          <w:szCs w:val="24"/>
          <w:highlight w:val="none"/>
        </w:rPr>
        <w:t>部分项目汇总得分，中标候选资格按综合得分由高到低顺序排列，得分相同的，按投标</w:t>
      </w:r>
      <w:r>
        <w:rPr>
          <w:rFonts w:hint="eastAsia" w:ascii="仿宋" w:hAnsi="仿宋" w:eastAsia="仿宋" w:cs="宋体"/>
          <w:color w:val="auto"/>
          <w:sz w:val="24"/>
          <w:szCs w:val="24"/>
          <w:highlight w:val="none"/>
          <w:lang w:eastAsia="zh-CN"/>
        </w:rPr>
        <w:t>结算率</w:t>
      </w:r>
      <w:r>
        <w:rPr>
          <w:rFonts w:hint="eastAsia" w:ascii="仿宋" w:hAnsi="仿宋" w:eastAsia="仿宋" w:cs="宋体"/>
          <w:color w:val="auto"/>
          <w:sz w:val="24"/>
          <w:szCs w:val="24"/>
          <w:highlight w:val="none"/>
        </w:rPr>
        <w:t>由</w:t>
      </w:r>
      <w:r>
        <w:rPr>
          <w:rFonts w:hint="eastAsia" w:ascii="仿宋" w:hAnsi="仿宋" w:eastAsia="仿宋" w:cs="宋体"/>
          <w:color w:val="auto"/>
          <w:sz w:val="24"/>
          <w:szCs w:val="24"/>
          <w:highlight w:val="none"/>
          <w:lang w:eastAsia="zh-CN"/>
        </w:rPr>
        <w:t>低</w:t>
      </w:r>
      <w:r>
        <w:rPr>
          <w:rFonts w:hint="eastAsia" w:ascii="仿宋" w:hAnsi="仿宋" w:eastAsia="仿宋" w:cs="宋体"/>
          <w:color w:val="auto"/>
          <w:sz w:val="24"/>
          <w:szCs w:val="24"/>
          <w:highlight w:val="none"/>
        </w:rPr>
        <w:t>到</w:t>
      </w:r>
      <w:r>
        <w:rPr>
          <w:rFonts w:hint="eastAsia" w:ascii="仿宋" w:hAnsi="仿宋" w:eastAsia="仿宋" w:cs="宋体"/>
          <w:color w:val="auto"/>
          <w:sz w:val="24"/>
          <w:szCs w:val="24"/>
          <w:highlight w:val="none"/>
          <w:lang w:eastAsia="zh-CN"/>
        </w:rPr>
        <w:t>高</w:t>
      </w:r>
      <w:r>
        <w:rPr>
          <w:rFonts w:hint="eastAsia" w:ascii="仿宋" w:hAnsi="仿宋" w:eastAsia="仿宋" w:cs="宋体"/>
          <w:color w:val="auto"/>
          <w:sz w:val="24"/>
          <w:szCs w:val="24"/>
          <w:highlight w:val="none"/>
        </w:rPr>
        <w:t>顺序排列；综合得分且投标</w:t>
      </w:r>
      <w:r>
        <w:rPr>
          <w:rFonts w:hint="eastAsia" w:ascii="仿宋" w:hAnsi="仿宋" w:eastAsia="仿宋" w:cs="宋体"/>
          <w:color w:val="auto"/>
          <w:sz w:val="24"/>
          <w:szCs w:val="24"/>
          <w:highlight w:val="none"/>
          <w:lang w:eastAsia="zh-CN"/>
        </w:rPr>
        <w:t>结算率</w:t>
      </w:r>
      <w:r>
        <w:rPr>
          <w:rFonts w:hint="eastAsia" w:ascii="仿宋" w:hAnsi="仿宋" w:eastAsia="仿宋" w:cs="宋体"/>
          <w:color w:val="auto"/>
          <w:sz w:val="24"/>
          <w:szCs w:val="24"/>
          <w:highlight w:val="none"/>
        </w:rPr>
        <w:t>相同的，按技术分的优劣顺序排列。排名第一的投标人为中标候选人，排名第二</w:t>
      </w:r>
      <w:r>
        <w:rPr>
          <w:rFonts w:hint="eastAsia" w:ascii="仿宋" w:hAnsi="仿宋" w:eastAsia="仿宋" w:cs="宋体"/>
          <w:color w:val="auto"/>
          <w:sz w:val="24"/>
          <w:szCs w:val="24"/>
          <w:highlight w:val="none"/>
        </w:rPr>
        <w:t>的投标人为候补中标候选人，其他投标人中标候选资格依次类推。</w:t>
      </w:r>
    </w:p>
    <w:p w14:paraId="0EF8490D">
      <w:pPr>
        <w:numPr>
          <w:ilvl w:val="0"/>
          <w:numId w:val="0"/>
        </w:numPr>
        <w:tabs>
          <w:tab w:val="left" w:pos="540"/>
          <w:tab w:val="left" w:pos="884"/>
        </w:tabs>
        <w:spacing w:line="360" w:lineRule="auto"/>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eastAsia="zh-CN"/>
        </w:rPr>
        <w:t>一、</w:t>
      </w:r>
      <w:r>
        <w:rPr>
          <w:rFonts w:hint="eastAsia" w:ascii="仿宋" w:hAnsi="仿宋" w:eastAsia="仿宋" w:cs="宋体"/>
          <w:color w:val="auto"/>
          <w:sz w:val="24"/>
          <w:szCs w:val="24"/>
          <w:highlight w:val="none"/>
        </w:rPr>
        <w:t>技</w:t>
      </w:r>
      <w:r>
        <w:rPr>
          <w:rFonts w:ascii="仿宋" w:hAnsi="仿宋" w:eastAsia="仿宋" w:cs="宋体"/>
          <w:color w:val="auto"/>
          <w:sz w:val="24"/>
          <w:szCs w:val="24"/>
          <w:highlight w:val="none"/>
        </w:rPr>
        <w:t>术分满分为</w:t>
      </w:r>
      <w:r>
        <w:rPr>
          <w:rFonts w:hint="eastAsia" w:ascii="仿宋" w:hAnsi="仿宋" w:eastAsia="仿宋" w:cs="宋体"/>
          <w:color w:val="auto"/>
          <w:sz w:val="24"/>
          <w:szCs w:val="24"/>
          <w:highlight w:val="none"/>
        </w:rPr>
        <w:t>70</w:t>
      </w:r>
      <w:r>
        <w:rPr>
          <w:rFonts w:ascii="仿宋" w:hAnsi="仿宋" w:eastAsia="仿宋" w:cs="宋体"/>
          <w:color w:val="auto"/>
          <w:sz w:val="24"/>
          <w:szCs w:val="24"/>
          <w:highlight w:val="none"/>
        </w:rPr>
        <w:t>分，分值分配见表格。评标委员会根据表格，对各投标单位的技术标进行书面审核和评论后，由各专家独立酌情给分评标委员会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p w14:paraId="1B0DED4A">
      <w:pPr>
        <w:adjustRightInd w:val="0"/>
        <w:snapToGrid w:val="0"/>
        <w:spacing w:line="360" w:lineRule="auto"/>
        <w:rPr>
          <w:rFonts w:hint="default" w:ascii="仿宋" w:hAnsi="仿宋" w:eastAsia="仿宋"/>
          <w:b/>
          <w:bCs/>
          <w:color w:val="auto"/>
          <w:sz w:val="28"/>
          <w:szCs w:val="21"/>
          <w:highlight w:val="none"/>
          <w:lang w:val="en-US" w:eastAsia="zh-CN"/>
        </w:rPr>
      </w:pPr>
      <w:r>
        <w:rPr>
          <w:rFonts w:hint="eastAsia" w:ascii="仿宋" w:hAnsi="仿宋" w:eastAsia="仿宋"/>
          <w:b/>
          <w:bCs/>
          <w:color w:val="auto"/>
          <w:sz w:val="28"/>
          <w:szCs w:val="21"/>
          <w:highlight w:val="none"/>
          <w:lang w:eastAsia="zh-CN"/>
        </w:rPr>
        <w:t>工程类</w:t>
      </w:r>
      <w:r>
        <w:rPr>
          <w:rFonts w:hint="eastAsia" w:ascii="仿宋" w:hAnsi="仿宋" w:eastAsia="仿宋"/>
          <w:b/>
          <w:bCs/>
          <w:color w:val="auto"/>
          <w:sz w:val="28"/>
          <w:szCs w:val="21"/>
          <w:highlight w:val="none"/>
          <w:lang w:val="en-US" w:eastAsia="zh-CN"/>
        </w:rPr>
        <w:t>评分细则</w:t>
      </w:r>
    </w:p>
    <w:tbl>
      <w:tblPr>
        <w:tblStyle w:val="11"/>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06"/>
        <w:gridCol w:w="2460"/>
        <w:gridCol w:w="5290"/>
        <w:gridCol w:w="1001"/>
      </w:tblGrid>
      <w:tr w14:paraId="5833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15" w:type="dxa"/>
            <w:vMerge w:val="restart"/>
            <w:noWrap w:val="0"/>
            <w:vAlign w:val="center"/>
          </w:tcPr>
          <w:p w14:paraId="374CE776">
            <w:pPr>
              <w:keepNext w:val="0"/>
              <w:keepLines w:val="0"/>
              <w:suppressLineNumbers w:val="0"/>
              <w:snapToGrid w:val="0"/>
              <w:spacing w:before="0" w:beforeAutospacing="0" w:after="0" w:afterAutospacing="0"/>
              <w:ind w:left="113" w:right="113"/>
              <w:jc w:val="center"/>
              <w:rPr>
                <w:rFonts w:hint="eastAsia" w:ascii="仿宋_GB2312" w:hAnsi="宋体" w:eastAsia="仿宋_GB2312" w:cs="宋体"/>
                <w:b/>
                <w:color w:val="auto"/>
                <w:sz w:val="24"/>
                <w:szCs w:val="24"/>
                <w:highlight w:val="none"/>
              </w:rPr>
            </w:pPr>
            <w:r>
              <w:rPr>
                <w:rFonts w:hint="eastAsia" w:ascii="仿宋_GB2312" w:hAnsi="宋体" w:eastAsia="仿宋_GB2312" w:cs="宋体"/>
                <w:b/>
                <w:color w:val="auto"/>
                <w:sz w:val="24"/>
                <w:szCs w:val="24"/>
                <w:highlight w:val="none"/>
              </w:rPr>
              <w:t>技术标评分</w:t>
            </w:r>
          </w:p>
        </w:tc>
        <w:tc>
          <w:tcPr>
            <w:tcW w:w="2966" w:type="dxa"/>
            <w:gridSpan w:val="2"/>
            <w:noWrap w:val="0"/>
            <w:vAlign w:val="center"/>
          </w:tcPr>
          <w:p w14:paraId="67E1B8B9">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评分标准</w:t>
            </w:r>
          </w:p>
        </w:tc>
        <w:tc>
          <w:tcPr>
            <w:tcW w:w="5290" w:type="dxa"/>
            <w:noWrap w:val="0"/>
            <w:vAlign w:val="center"/>
          </w:tcPr>
          <w:p w14:paraId="7AFF6850">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kern w:val="0"/>
                <w:sz w:val="24"/>
                <w:szCs w:val="24"/>
                <w:highlight w:val="none"/>
              </w:rPr>
            </w:pPr>
          </w:p>
        </w:tc>
        <w:tc>
          <w:tcPr>
            <w:tcW w:w="1001" w:type="dxa"/>
            <w:noWrap w:val="0"/>
            <w:vAlign w:val="center"/>
          </w:tcPr>
          <w:p w14:paraId="4B314BE4">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分值</w:t>
            </w:r>
          </w:p>
        </w:tc>
      </w:tr>
      <w:tr w14:paraId="6030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5" w:type="dxa"/>
            <w:vMerge w:val="continue"/>
            <w:noWrap w:val="0"/>
            <w:vAlign w:val="center"/>
          </w:tcPr>
          <w:p w14:paraId="7863FCF3">
            <w:pPr>
              <w:keepNext w:val="0"/>
              <w:keepLines w:val="0"/>
              <w:suppressLineNumbers w:val="0"/>
              <w:snapToGrid w:val="0"/>
              <w:spacing w:before="0" w:beforeAutospacing="0" w:after="0" w:afterAutospacing="0"/>
              <w:ind w:left="113" w:right="113"/>
              <w:jc w:val="center"/>
              <w:rPr>
                <w:rFonts w:hint="eastAsia" w:ascii="仿宋_GB2312" w:hAnsi="宋体" w:eastAsia="仿宋_GB2312" w:cs="宋体"/>
                <w:b/>
                <w:color w:val="auto"/>
                <w:sz w:val="24"/>
                <w:szCs w:val="24"/>
                <w:highlight w:val="none"/>
              </w:rPr>
            </w:pPr>
          </w:p>
        </w:tc>
        <w:tc>
          <w:tcPr>
            <w:tcW w:w="506" w:type="dxa"/>
            <w:noWrap w:val="0"/>
            <w:vAlign w:val="center"/>
          </w:tcPr>
          <w:p w14:paraId="022B7B34">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1</w:t>
            </w:r>
          </w:p>
        </w:tc>
        <w:tc>
          <w:tcPr>
            <w:tcW w:w="2460" w:type="dxa"/>
            <w:noWrap w:val="0"/>
            <w:vAlign w:val="center"/>
          </w:tcPr>
          <w:p w14:paraId="59EBD2AA">
            <w:pPr>
              <w:keepNext w:val="0"/>
              <w:keepLines w:val="0"/>
              <w:suppressLineNumbers w:val="0"/>
              <w:spacing w:before="0" w:beforeAutospacing="0" w:after="0" w:afterAutospacing="0" w:line="240" w:lineRule="atLeast"/>
              <w:ind w:left="0" w:right="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招标代理服务大纲内容是否完整、齐全</w:t>
            </w:r>
          </w:p>
        </w:tc>
        <w:tc>
          <w:tcPr>
            <w:tcW w:w="5290" w:type="dxa"/>
            <w:noWrap w:val="0"/>
            <w:vAlign w:val="center"/>
          </w:tcPr>
          <w:p w14:paraId="543F30CA">
            <w:pPr>
              <w:keepNext w:val="0"/>
              <w:keepLines w:val="0"/>
              <w:suppressLineNumbers w:val="0"/>
              <w:spacing w:before="0" w:beforeAutospacing="0" w:after="0" w:afterAutospacing="0" w:line="240" w:lineRule="atLeast"/>
              <w:ind w:left="0" w:right="0"/>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根据招投标相关政策、法规对招标全过程、流程进行描述,内容完整，条理清楚，满足国家、省、市、区现行的对招标代理机构服务的要求。</w:t>
            </w:r>
          </w:p>
        </w:tc>
        <w:tc>
          <w:tcPr>
            <w:tcW w:w="1001" w:type="dxa"/>
            <w:noWrap w:val="0"/>
            <w:vAlign w:val="center"/>
          </w:tcPr>
          <w:p w14:paraId="4D0BB7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0-</w:t>
            </w:r>
            <w:r>
              <w:rPr>
                <w:rFonts w:hint="eastAsia" w:ascii="仿宋_GB2312" w:hAnsi="宋体" w:eastAsia="仿宋_GB2312" w:cs="宋体"/>
                <w:color w:val="auto"/>
                <w:sz w:val="24"/>
                <w:szCs w:val="24"/>
                <w:highlight w:val="none"/>
                <w:lang w:val="en-US" w:eastAsia="zh-CN"/>
              </w:rPr>
              <w:t>6</w:t>
            </w:r>
            <w:r>
              <w:rPr>
                <w:rFonts w:hint="eastAsia" w:ascii="仿宋_GB2312" w:hAnsi="宋体" w:eastAsia="仿宋_GB2312" w:cs="宋体"/>
                <w:color w:val="auto"/>
                <w:sz w:val="24"/>
                <w:szCs w:val="24"/>
                <w:highlight w:val="none"/>
              </w:rPr>
              <w:t>分</w:t>
            </w:r>
          </w:p>
        </w:tc>
      </w:tr>
      <w:tr w14:paraId="7ECB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5" w:type="dxa"/>
            <w:vMerge w:val="continue"/>
            <w:noWrap w:val="0"/>
            <w:vAlign w:val="center"/>
          </w:tcPr>
          <w:p w14:paraId="36146B22">
            <w:pPr>
              <w:keepNext w:val="0"/>
              <w:keepLines w:val="0"/>
              <w:suppressLineNumbers w:val="0"/>
              <w:snapToGrid w:val="0"/>
              <w:spacing w:before="0" w:beforeAutospacing="0" w:after="0" w:afterAutospacing="0"/>
              <w:ind w:left="113" w:right="113"/>
              <w:jc w:val="center"/>
              <w:rPr>
                <w:rFonts w:hint="eastAsia" w:ascii="仿宋_GB2312" w:hAnsi="宋体" w:eastAsia="仿宋_GB2312" w:cs="宋体"/>
                <w:b/>
                <w:color w:val="auto"/>
                <w:sz w:val="24"/>
                <w:szCs w:val="24"/>
                <w:highlight w:val="none"/>
              </w:rPr>
            </w:pPr>
          </w:p>
        </w:tc>
        <w:tc>
          <w:tcPr>
            <w:tcW w:w="506" w:type="dxa"/>
            <w:noWrap w:val="0"/>
            <w:vAlign w:val="center"/>
          </w:tcPr>
          <w:p w14:paraId="1655E88E">
            <w:pPr>
              <w:keepNext w:val="0"/>
              <w:keepLines w:val="0"/>
              <w:suppressLineNumbers w:val="0"/>
              <w:snapToGrid w:val="0"/>
              <w:spacing w:before="0" w:beforeAutospacing="0" w:after="0" w:afterAutospacing="0"/>
              <w:ind w:left="0" w:leftChars="0" w:right="0" w:rightChars="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lang w:val="en-US" w:eastAsia="zh-CN"/>
              </w:rPr>
              <w:t>2</w:t>
            </w:r>
          </w:p>
        </w:tc>
        <w:tc>
          <w:tcPr>
            <w:tcW w:w="2460" w:type="dxa"/>
            <w:noWrap w:val="0"/>
            <w:vAlign w:val="center"/>
          </w:tcPr>
          <w:p w14:paraId="061150A9">
            <w:pPr>
              <w:keepNext w:val="0"/>
              <w:keepLines w:val="0"/>
              <w:suppressLineNumbers w:val="0"/>
              <w:snapToGrid w:val="0"/>
              <w:spacing w:before="0" w:beforeAutospacing="0" w:after="0" w:afterAutospacing="0"/>
              <w:ind w:left="0" w:leftChars="0" w:right="0" w:rightChars="0"/>
              <w:jc w:val="center"/>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业绩</w:t>
            </w:r>
          </w:p>
        </w:tc>
        <w:tc>
          <w:tcPr>
            <w:tcW w:w="5290" w:type="dxa"/>
            <w:noWrap w:val="0"/>
            <w:vAlign w:val="center"/>
          </w:tcPr>
          <w:p w14:paraId="26AF3AEB">
            <w:pPr>
              <w:keepNext w:val="0"/>
              <w:keepLines w:val="0"/>
              <w:suppressLineNumbers w:val="0"/>
              <w:snapToGrid w:val="0"/>
              <w:spacing w:before="0" w:beforeAutospacing="0" w:after="0" w:afterAutospacing="0"/>
              <w:ind w:left="0" w:leftChars="0" w:right="0" w:rightChars="0"/>
              <w:jc w:val="left"/>
              <w:rPr>
                <w:rFonts w:hint="default" w:ascii="仿宋_GB2312" w:hAnsi="仿宋" w:eastAsia="仿宋_GB2312" w:cs="宋体"/>
                <w:color w:val="auto"/>
                <w:sz w:val="24"/>
                <w:szCs w:val="24"/>
                <w:highlight w:val="none"/>
                <w:lang w:val="en-US" w:eastAsia="zh-CN"/>
              </w:rPr>
            </w:pPr>
            <w:r>
              <w:rPr>
                <w:rFonts w:hint="eastAsia" w:ascii="仿宋_GB2312" w:hAnsi="仿宋" w:eastAsia="仿宋_GB2312" w:cs="宋体"/>
                <w:color w:val="auto"/>
                <w:sz w:val="24"/>
                <w:szCs w:val="24"/>
                <w:highlight w:val="none"/>
                <w:lang w:val="en-US" w:eastAsia="zh-CN"/>
              </w:rPr>
              <w:t>1、</w:t>
            </w:r>
            <w:r>
              <w:rPr>
                <w:rFonts w:hint="eastAsia" w:ascii="仿宋_GB2312" w:hAnsi="仿宋" w:eastAsia="仿宋_GB2312" w:cs="宋体"/>
                <w:color w:val="auto"/>
                <w:sz w:val="24"/>
                <w:szCs w:val="24"/>
                <w:highlight w:val="none"/>
                <w:lang w:eastAsia="zh-CN"/>
              </w:rPr>
              <w:t>2022</w:t>
            </w:r>
            <w:r>
              <w:rPr>
                <w:rFonts w:hint="eastAsia" w:ascii="仿宋_GB2312" w:hAnsi="仿宋" w:eastAsia="仿宋_GB2312" w:cs="宋体"/>
                <w:color w:val="auto"/>
                <w:sz w:val="24"/>
                <w:szCs w:val="24"/>
                <w:highlight w:val="none"/>
              </w:rPr>
              <w:t>年1月1日以来，</w:t>
            </w:r>
            <w:bookmarkStart w:id="8" w:name="OLE_LINK1"/>
            <w:r>
              <w:rPr>
                <w:rFonts w:hint="eastAsia" w:ascii="仿宋_GB2312" w:hAnsi="仿宋" w:eastAsia="仿宋_GB2312" w:cs="宋体"/>
                <w:color w:val="auto"/>
                <w:sz w:val="24"/>
                <w:szCs w:val="24"/>
                <w:highlight w:val="none"/>
              </w:rPr>
              <w:t>承</w:t>
            </w:r>
            <w:r>
              <w:rPr>
                <w:rFonts w:hint="eastAsia" w:ascii="仿宋_GB2312" w:hAnsi="仿宋" w:eastAsia="仿宋_GB2312" w:cs="宋体"/>
                <w:color w:val="auto"/>
                <w:sz w:val="24"/>
                <w:szCs w:val="24"/>
                <w:highlight w:val="none"/>
                <w:lang w:val="en-US" w:eastAsia="zh-CN"/>
              </w:rPr>
              <w:t>接</w:t>
            </w:r>
            <w:bookmarkEnd w:id="8"/>
            <w:r>
              <w:rPr>
                <w:rFonts w:hint="eastAsia" w:ascii="仿宋_GB2312" w:hAnsi="仿宋" w:eastAsia="仿宋_GB2312" w:cs="宋体"/>
                <w:color w:val="auto"/>
                <w:sz w:val="24"/>
                <w:szCs w:val="24"/>
                <w:highlight w:val="none"/>
              </w:rPr>
              <w:t>过</w:t>
            </w:r>
            <w:r>
              <w:rPr>
                <w:rFonts w:hint="eastAsia" w:ascii="仿宋_GB2312" w:hAnsi="仿宋" w:eastAsia="仿宋_GB2312" w:cs="宋体"/>
                <w:color w:val="auto"/>
                <w:sz w:val="24"/>
                <w:szCs w:val="24"/>
                <w:highlight w:val="none"/>
                <w:lang w:val="en-US" w:eastAsia="zh-CN"/>
              </w:rPr>
              <w:t>县市级或以上</w:t>
            </w:r>
            <w:r>
              <w:rPr>
                <w:rFonts w:hint="eastAsia" w:ascii="仿宋_GB2312" w:hAnsi="仿宋" w:eastAsia="仿宋_GB2312" w:cs="宋体"/>
                <w:color w:val="auto"/>
                <w:sz w:val="24"/>
                <w:szCs w:val="24"/>
                <w:highlight w:val="none"/>
              </w:rPr>
              <w:t>招标代理</w:t>
            </w:r>
            <w:bookmarkStart w:id="9" w:name="OLE_LINK3"/>
            <w:r>
              <w:rPr>
                <w:rFonts w:hint="eastAsia" w:ascii="仿宋_GB2312" w:hAnsi="仿宋" w:eastAsia="仿宋_GB2312" w:cs="宋体"/>
                <w:color w:val="auto"/>
                <w:sz w:val="24"/>
                <w:szCs w:val="24"/>
                <w:highlight w:val="none"/>
              </w:rPr>
              <w:t>项目</w:t>
            </w:r>
            <w:bookmarkEnd w:id="9"/>
            <w:r>
              <w:rPr>
                <w:rFonts w:hint="eastAsia" w:ascii="仿宋_GB2312" w:hAnsi="仿宋" w:eastAsia="仿宋_GB2312" w:cs="宋体"/>
                <w:color w:val="auto"/>
                <w:sz w:val="24"/>
                <w:szCs w:val="24"/>
                <w:highlight w:val="none"/>
              </w:rPr>
              <w:t>的，每提供1</w:t>
            </w:r>
            <w:bookmarkStart w:id="10" w:name="OLE_LINK4"/>
            <w:r>
              <w:rPr>
                <w:rFonts w:hint="eastAsia" w:ascii="仿宋_GB2312" w:hAnsi="仿宋" w:eastAsia="仿宋_GB2312" w:cs="宋体"/>
                <w:color w:val="auto"/>
                <w:sz w:val="24"/>
                <w:szCs w:val="24"/>
                <w:highlight w:val="none"/>
              </w:rPr>
              <w:t>份</w:t>
            </w:r>
            <w:bookmarkEnd w:id="10"/>
            <w:r>
              <w:rPr>
                <w:rFonts w:hint="eastAsia" w:ascii="仿宋_GB2312" w:hAnsi="仿宋" w:eastAsia="仿宋_GB2312" w:cs="宋体"/>
                <w:color w:val="auto"/>
                <w:sz w:val="24"/>
                <w:szCs w:val="24"/>
                <w:highlight w:val="none"/>
              </w:rPr>
              <w:t>代理协议的加1分，最高不超过</w:t>
            </w:r>
            <w:r>
              <w:rPr>
                <w:rFonts w:hint="eastAsia" w:ascii="仿宋_GB2312" w:hAnsi="仿宋" w:eastAsia="仿宋_GB2312" w:cs="宋体"/>
                <w:color w:val="auto"/>
                <w:sz w:val="24"/>
                <w:szCs w:val="24"/>
                <w:highlight w:val="none"/>
                <w:lang w:val="en-US" w:eastAsia="zh-CN"/>
              </w:rPr>
              <w:t>4</w:t>
            </w:r>
            <w:r>
              <w:rPr>
                <w:rFonts w:hint="eastAsia" w:ascii="仿宋_GB2312" w:hAnsi="仿宋" w:eastAsia="仿宋_GB2312" w:cs="宋体"/>
                <w:color w:val="auto"/>
                <w:sz w:val="24"/>
                <w:szCs w:val="24"/>
                <w:highlight w:val="none"/>
              </w:rPr>
              <w:t>分；</w:t>
            </w:r>
            <w:r>
              <w:rPr>
                <w:rFonts w:hint="eastAsia" w:ascii="仿宋_GB2312" w:hAnsi="仿宋" w:eastAsia="仿宋_GB2312" w:cs="宋体"/>
                <w:color w:val="auto"/>
                <w:sz w:val="24"/>
                <w:szCs w:val="24"/>
                <w:highlight w:val="none"/>
                <w:lang w:val="en-US" w:eastAsia="zh-CN"/>
              </w:rPr>
              <w:t>同一业主的合同只算一个。</w:t>
            </w:r>
            <w:r>
              <w:rPr>
                <w:rFonts w:hint="eastAsia" w:ascii="仿宋_GB2312" w:hAnsi="仿宋" w:eastAsia="仿宋_GB2312" w:cs="宋体"/>
                <w:color w:val="auto"/>
                <w:sz w:val="24"/>
                <w:szCs w:val="24"/>
                <w:highlight w:val="none"/>
              </w:rPr>
              <w:t>需提供协议复印件，原件备查。</w:t>
            </w:r>
          </w:p>
          <w:p w14:paraId="7709F793">
            <w:pPr>
              <w:keepNext w:val="0"/>
              <w:keepLines w:val="0"/>
              <w:suppressLineNumbers w:val="0"/>
              <w:snapToGrid w:val="0"/>
              <w:spacing w:before="0" w:beforeAutospacing="0" w:after="0" w:afterAutospacing="0"/>
              <w:ind w:left="0" w:leftChars="0" w:right="0" w:rightChars="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lang w:val="en-US" w:eastAsia="zh-CN"/>
              </w:rPr>
              <w:t>2、</w:t>
            </w:r>
            <w:r>
              <w:rPr>
                <w:rFonts w:hint="eastAsia" w:ascii="仿宋_GB2312" w:hAnsi="仿宋" w:eastAsia="仿宋_GB2312" w:cs="宋体"/>
                <w:color w:val="auto"/>
                <w:sz w:val="24"/>
                <w:szCs w:val="24"/>
                <w:highlight w:val="none"/>
                <w:lang w:eastAsia="zh-CN"/>
              </w:rPr>
              <w:t>2022</w:t>
            </w:r>
            <w:r>
              <w:rPr>
                <w:rFonts w:hint="eastAsia" w:ascii="仿宋_GB2312" w:hAnsi="仿宋" w:eastAsia="仿宋_GB2312" w:cs="宋体"/>
                <w:color w:val="auto"/>
                <w:sz w:val="24"/>
                <w:szCs w:val="24"/>
                <w:highlight w:val="none"/>
              </w:rPr>
              <w:t>年1月1日以来</w:t>
            </w:r>
            <w:r>
              <w:rPr>
                <w:rFonts w:hint="eastAsia" w:ascii="仿宋_GB2312" w:hAnsi="仿宋" w:eastAsia="仿宋_GB2312" w:cs="宋体"/>
                <w:color w:val="auto"/>
                <w:sz w:val="24"/>
                <w:szCs w:val="24"/>
                <w:highlight w:val="none"/>
                <w:lang w:eastAsia="zh-CN"/>
              </w:rPr>
              <w:t>，</w:t>
            </w:r>
            <w:bookmarkStart w:id="11" w:name="OLE_LINK8"/>
            <w:r>
              <w:rPr>
                <w:rFonts w:hint="eastAsia" w:ascii="仿宋_GB2312" w:hAnsi="仿宋" w:eastAsia="仿宋_GB2312" w:cs="宋体"/>
                <w:color w:val="auto"/>
                <w:sz w:val="24"/>
                <w:szCs w:val="24"/>
                <w:highlight w:val="none"/>
              </w:rPr>
              <w:t>承</w:t>
            </w:r>
            <w:r>
              <w:rPr>
                <w:rFonts w:hint="eastAsia" w:ascii="仿宋_GB2312" w:hAnsi="仿宋" w:eastAsia="仿宋_GB2312" w:cs="宋体"/>
                <w:color w:val="auto"/>
                <w:sz w:val="24"/>
                <w:szCs w:val="24"/>
                <w:highlight w:val="none"/>
                <w:lang w:val="en-US" w:eastAsia="zh-CN"/>
              </w:rPr>
              <w:t>接</w:t>
            </w:r>
            <w:r>
              <w:rPr>
                <w:rFonts w:hint="eastAsia" w:ascii="仿宋_GB2312" w:hAnsi="仿宋" w:eastAsia="仿宋_GB2312" w:cs="宋体"/>
                <w:color w:val="auto"/>
                <w:sz w:val="24"/>
                <w:szCs w:val="24"/>
                <w:highlight w:val="none"/>
              </w:rPr>
              <w:t>过</w:t>
            </w:r>
            <w:r>
              <w:rPr>
                <w:rFonts w:hint="eastAsia" w:ascii="仿宋_GB2312" w:hAnsi="仿宋" w:eastAsia="仿宋_GB2312" w:cs="宋体"/>
                <w:color w:val="auto"/>
                <w:sz w:val="24"/>
                <w:szCs w:val="24"/>
                <w:highlight w:val="none"/>
                <w:lang w:val="en-US" w:eastAsia="zh-CN"/>
              </w:rPr>
              <w:t>医院且概算金额大于3000万元</w:t>
            </w:r>
            <w:r>
              <w:rPr>
                <w:rFonts w:hint="eastAsia" w:ascii="仿宋_GB2312" w:hAnsi="仿宋" w:eastAsia="仿宋_GB2312" w:cs="宋体"/>
                <w:color w:val="auto"/>
                <w:sz w:val="24"/>
                <w:szCs w:val="24"/>
                <w:highlight w:val="none"/>
              </w:rPr>
              <w:t>招标代理</w:t>
            </w:r>
            <w:bookmarkStart w:id="12" w:name="OLE_LINK2"/>
            <w:r>
              <w:rPr>
                <w:rFonts w:hint="eastAsia" w:ascii="仿宋_GB2312" w:hAnsi="仿宋" w:eastAsia="仿宋_GB2312" w:cs="宋体"/>
                <w:color w:val="auto"/>
                <w:sz w:val="24"/>
                <w:szCs w:val="24"/>
                <w:highlight w:val="none"/>
              </w:rPr>
              <w:t>的</w:t>
            </w:r>
            <w:bookmarkEnd w:id="12"/>
            <w:r>
              <w:rPr>
                <w:rFonts w:hint="eastAsia" w:ascii="仿宋_GB2312" w:hAnsi="仿宋" w:eastAsia="仿宋_GB2312" w:cs="宋体"/>
                <w:color w:val="auto"/>
                <w:sz w:val="24"/>
                <w:szCs w:val="24"/>
                <w:highlight w:val="none"/>
              </w:rPr>
              <w:t>项目，每提供1份代理协议加</w:t>
            </w:r>
            <w:r>
              <w:rPr>
                <w:rFonts w:hint="eastAsia" w:ascii="仿宋_GB2312" w:hAnsi="仿宋" w:eastAsia="仿宋_GB2312" w:cs="宋体"/>
                <w:color w:val="auto"/>
                <w:sz w:val="24"/>
                <w:szCs w:val="24"/>
                <w:highlight w:val="none"/>
                <w:lang w:val="en-US" w:eastAsia="zh-CN"/>
              </w:rPr>
              <w:t>2</w:t>
            </w:r>
            <w:r>
              <w:rPr>
                <w:rFonts w:hint="eastAsia" w:ascii="仿宋_GB2312" w:hAnsi="仿宋" w:eastAsia="仿宋_GB2312" w:cs="宋体"/>
                <w:color w:val="auto"/>
                <w:sz w:val="24"/>
                <w:szCs w:val="24"/>
                <w:highlight w:val="none"/>
              </w:rPr>
              <w:t>分，最高不超过</w:t>
            </w:r>
            <w:r>
              <w:rPr>
                <w:rFonts w:hint="eastAsia" w:ascii="仿宋_GB2312" w:hAnsi="仿宋" w:eastAsia="仿宋_GB2312" w:cs="宋体"/>
                <w:color w:val="auto"/>
                <w:sz w:val="24"/>
                <w:szCs w:val="24"/>
                <w:highlight w:val="none"/>
                <w:lang w:val="en-US" w:eastAsia="zh-CN"/>
              </w:rPr>
              <w:t>6</w:t>
            </w:r>
            <w:r>
              <w:rPr>
                <w:rFonts w:hint="eastAsia" w:ascii="仿宋_GB2312" w:hAnsi="仿宋" w:eastAsia="仿宋_GB2312" w:cs="宋体"/>
                <w:color w:val="auto"/>
                <w:sz w:val="24"/>
                <w:szCs w:val="24"/>
                <w:highlight w:val="none"/>
              </w:rPr>
              <w:t>分。</w:t>
            </w:r>
            <w:r>
              <w:rPr>
                <w:rFonts w:hint="eastAsia" w:ascii="仿宋_GB2312" w:hAnsi="仿宋" w:eastAsia="仿宋_GB2312" w:cs="宋体"/>
                <w:color w:val="auto"/>
                <w:sz w:val="24"/>
                <w:szCs w:val="24"/>
                <w:highlight w:val="none"/>
                <w:lang w:val="en-US" w:eastAsia="zh-CN"/>
              </w:rPr>
              <w:t>同一业主的合同只算一个。</w:t>
            </w:r>
            <w:r>
              <w:rPr>
                <w:rFonts w:hint="eastAsia" w:ascii="仿宋_GB2312" w:hAnsi="仿宋" w:eastAsia="仿宋_GB2312" w:cs="宋体"/>
                <w:color w:val="auto"/>
                <w:sz w:val="24"/>
                <w:szCs w:val="24"/>
                <w:highlight w:val="none"/>
              </w:rPr>
              <w:t>需提供协议复印件，原件备查。</w:t>
            </w:r>
          </w:p>
          <w:p w14:paraId="7A11C0D1">
            <w:pPr>
              <w:keepNext w:val="0"/>
              <w:keepLines w:val="0"/>
              <w:suppressLineNumbers w:val="0"/>
              <w:snapToGrid w:val="0"/>
              <w:spacing w:before="0" w:beforeAutospacing="0" w:after="0" w:afterAutospacing="0"/>
              <w:ind w:left="0" w:leftChars="0" w:right="0" w:rightChars="0"/>
              <w:jc w:val="left"/>
              <w:rPr>
                <w:rFonts w:hint="default" w:ascii="仿宋_GB2312" w:hAnsi="宋体" w:eastAsia="仿宋_GB2312"/>
                <w:color w:val="auto"/>
                <w:sz w:val="24"/>
                <w:szCs w:val="24"/>
                <w:highlight w:val="none"/>
                <w:lang w:val="en-US" w:eastAsia="zh-CN"/>
              </w:rPr>
            </w:pPr>
            <w:r>
              <w:rPr>
                <w:rFonts w:hint="eastAsia" w:ascii="仿宋_GB2312" w:hAnsi="仿宋" w:eastAsia="仿宋_GB2312" w:cs="宋体"/>
                <w:color w:val="auto"/>
                <w:sz w:val="24"/>
                <w:szCs w:val="24"/>
                <w:highlight w:val="none"/>
                <w:lang w:val="en-US" w:eastAsia="zh-CN"/>
              </w:rPr>
              <w:t>以上两类合同业绩不得重复。</w:t>
            </w:r>
            <w:bookmarkEnd w:id="11"/>
          </w:p>
        </w:tc>
        <w:tc>
          <w:tcPr>
            <w:tcW w:w="1001" w:type="dxa"/>
            <w:noWrap w:val="0"/>
            <w:vAlign w:val="center"/>
          </w:tcPr>
          <w:p w14:paraId="5C7F1E5F">
            <w:pPr>
              <w:keepNext w:val="0"/>
              <w:keepLines w:val="0"/>
              <w:suppressLineNumbers w:val="0"/>
              <w:snapToGrid w:val="0"/>
              <w:spacing w:before="0" w:beforeAutospacing="0" w:after="0" w:afterAutospacing="0"/>
              <w:ind w:left="0" w:leftChars="0" w:right="0" w:rightChars="0"/>
              <w:jc w:val="center"/>
              <w:rPr>
                <w:rFonts w:hint="eastAsia" w:ascii="仿宋_GB2312" w:hAnsi="宋体" w:eastAsia="仿宋_GB2312" w:cs="宋体"/>
                <w:color w:val="auto"/>
                <w:sz w:val="24"/>
                <w:szCs w:val="24"/>
                <w:highlight w:val="none"/>
              </w:rPr>
            </w:pP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10</w:t>
            </w:r>
            <w:r>
              <w:rPr>
                <w:rFonts w:hint="eastAsia" w:ascii="仿宋_GB2312" w:hAnsi="仿宋" w:eastAsia="仿宋_GB2312" w:cs="宋体"/>
                <w:color w:val="auto"/>
                <w:sz w:val="24"/>
                <w:szCs w:val="24"/>
                <w:highlight w:val="none"/>
              </w:rPr>
              <w:t>分</w:t>
            </w:r>
          </w:p>
        </w:tc>
      </w:tr>
      <w:tr w14:paraId="6B02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15" w:type="dxa"/>
            <w:vMerge w:val="continue"/>
            <w:noWrap w:val="0"/>
            <w:vAlign w:val="center"/>
          </w:tcPr>
          <w:p w14:paraId="6C846E33">
            <w:pPr>
              <w:keepNext w:val="0"/>
              <w:keepLines w:val="0"/>
              <w:suppressLineNumbers w:val="0"/>
              <w:snapToGrid w:val="0"/>
              <w:spacing w:before="0" w:beforeAutospacing="0" w:after="0" w:afterAutospacing="0"/>
              <w:ind w:left="113" w:right="113"/>
              <w:jc w:val="center"/>
              <w:rPr>
                <w:rFonts w:hint="eastAsia" w:ascii="仿宋_GB2312" w:hAnsi="宋体" w:eastAsia="仿宋_GB2312" w:cs="宋体"/>
                <w:b/>
                <w:color w:val="auto"/>
                <w:sz w:val="24"/>
                <w:szCs w:val="24"/>
                <w:highlight w:val="none"/>
              </w:rPr>
            </w:pPr>
          </w:p>
        </w:tc>
        <w:tc>
          <w:tcPr>
            <w:tcW w:w="506" w:type="dxa"/>
            <w:noWrap w:val="0"/>
            <w:vAlign w:val="center"/>
          </w:tcPr>
          <w:p w14:paraId="1282CF00">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2</w:t>
            </w:r>
          </w:p>
        </w:tc>
        <w:tc>
          <w:tcPr>
            <w:tcW w:w="2460" w:type="dxa"/>
            <w:noWrap w:val="0"/>
            <w:vAlign w:val="center"/>
          </w:tcPr>
          <w:p w14:paraId="38F50B44">
            <w:pPr>
              <w:keepNext w:val="0"/>
              <w:keepLines w:val="0"/>
              <w:suppressLineNumbers w:val="0"/>
              <w:spacing w:before="0" w:beforeAutospacing="0" w:after="0" w:afterAutospacing="0" w:line="240" w:lineRule="atLeast"/>
              <w:ind w:left="0" w:right="0"/>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人员组织分工</w:t>
            </w:r>
          </w:p>
        </w:tc>
        <w:tc>
          <w:tcPr>
            <w:tcW w:w="5290" w:type="dxa"/>
            <w:noWrap w:val="0"/>
            <w:vAlign w:val="center"/>
          </w:tcPr>
          <w:p w14:paraId="54DF645A">
            <w:pPr>
              <w:keepNext w:val="0"/>
              <w:keepLines w:val="0"/>
              <w:suppressLineNumbers w:val="0"/>
              <w:spacing w:before="0" w:beforeAutospacing="0" w:after="0" w:afterAutospacing="0" w:line="240" w:lineRule="atLeast"/>
              <w:ind w:left="0" w:right="0"/>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根据投标文件所提供的项目班子相应人员的组织分工是否明确，专业配置情况等响应方面，进行打分。</w:t>
            </w:r>
          </w:p>
        </w:tc>
        <w:tc>
          <w:tcPr>
            <w:tcW w:w="1001" w:type="dxa"/>
            <w:noWrap w:val="0"/>
            <w:vAlign w:val="center"/>
          </w:tcPr>
          <w:p w14:paraId="263AD3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0-</w:t>
            </w:r>
            <w:r>
              <w:rPr>
                <w:rFonts w:hint="eastAsia" w:ascii="仿宋_GB2312" w:hAnsi="宋体" w:eastAsia="仿宋_GB2312" w:cs="宋体"/>
                <w:color w:val="auto"/>
                <w:sz w:val="24"/>
                <w:szCs w:val="24"/>
                <w:highlight w:val="none"/>
                <w:lang w:val="en-US" w:eastAsia="zh-CN"/>
              </w:rPr>
              <w:t>6</w:t>
            </w:r>
            <w:r>
              <w:rPr>
                <w:rFonts w:hint="eastAsia" w:ascii="仿宋_GB2312" w:hAnsi="宋体" w:eastAsia="仿宋_GB2312" w:cs="宋体"/>
                <w:color w:val="auto"/>
                <w:sz w:val="24"/>
                <w:szCs w:val="24"/>
                <w:highlight w:val="none"/>
              </w:rPr>
              <w:t>分</w:t>
            </w:r>
          </w:p>
        </w:tc>
      </w:tr>
      <w:tr w14:paraId="418E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5" w:type="dxa"/>
            <w:vMerge w:val="continue"/>
            <w:noWrap w:val="0"/>
            <w:vAlign w:val="center"/>
          </w:tcPr>
          <w:p w14:paraId="79301E0E">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342FD100">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3</w:t>
            </w:r>
          </w:p>
        </w:tc>
        <w:tc>
          <w:tcPr>
            <w:tcW w:w="2460" w:type="dxa"/>
            <w:noWrap w:val="0"/>
            <w:vAlign w:val="center"/>
          </w:tcPr>
          <w:p w14:paraId="23F06231">
            <w:pPr>
              <w:keepNext w:val="0"/>
              <w:keepLines w:val="0"/>
              <w:suppressLineNumbers w:val="0"/>
              <w:spacing w:before="0" w:beforeAutospacing="0" w:after="0" w:afterAutospacing="0" w:line="240" w:lineRule="atLeast"/>
              <w:ind w:left="0" w:right="0"/>
              <w:jc w:val="center"/>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招标代理的质量及进度是否科学合理及保证措施</w:t>
            </w:r>
          </w:p>
        </w:tc>
        <w:tc>
          <w:tcPr>
            <w:tcW w:w="5290" w:type="dxa"/>
            <w:noWrap w:val="0"/>
            <w:vAlign w:val="center"/>
          </w:tcPr>
          <w:p w14:paraId="780A7871">
            <w:pPr>
              <w:keepNext w:val="0"/>
              <w:keepLines w:val="0"/>
              <w:suppressLineNumbers w:val="0"/>
              <w:spacing w:before="0" w:beforeAutospacing="0" w:after="0" w:afterAutospacing="0" w:line="240" w:lineRule="atLeast"/>
              <w:ind w:left="0" w:right="0"/>
              <w:rPr>
                <w:rFonts w:hint="eastAsia" w:ascii="仿宋_GB2312" w:hAnsi="仿宋" w:eastAsia="仿宋_GB2312" w:cs="宋体"/>
                <w:color w:val="auto"/>
                <w:sz w:val="24"/>
                <w:szCs w:val="24"/>
                <w:highlight w:val="none"/>
              </w:rPr>
            </w:pPr>
            <w:r>
              <w:rPr>
                <w:rFonts w:hint="eastAsia" w:ascii="仿宋_GB2312" w:hAnsi="仿宋" w:eastAsia="仿宋_GB2312"/>
                <w:color w:val="auto"/>
                <w:sz w:val="24"/>
                <w:szCs w:val="24"/>
                <w:highlight w:val="none"/>
              </w:rPr>
              <w:t>根据各投标单位服务响应能力，办公地点，服务响应时间及熟悉本地化政策等方面考虑。</w:t>
            </w:r>
          </w:p>
        </w:tc>
        <w:tc>
          <w:tcPr>
            <w:tcW w:w="1001" w:type="dxa"/>
            <w:noWrap w:val="0"/>
            <w:vAlign w:val="center"/>
          </w:tcPr>
          <w:p w14:paraId="7BF84B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0-</w:t>
            </w:r>
            <w:r>
              <w:rPr>
                <w:rFonts w:hint="eastAsia" w:ascii="仿宋_GB2312" w:hAnsi="宋体" w:eastAsia="仿宋_GB2312" w:cs="宋体"/>
                <w:color w:val="auto"/>
                <w:sz w:val="24"/>
                <w:szCs w:val="24"/>
                <w:highlight w:val="none"/>
                <w:lang w:val="en-US" w:eastAsia="zh-CN"/>
              </w:rPr>
              <w:t>7</w:t>
            </w:r>
            <w:r>
              <w:rPr>
                <w:rFonts w:hint="eastAsia" w:ascii="仿宋_GB2312" w:hAnsi="宋体" w:eastAsia="仿宋_GB2312" w:cs="宋体"/>
                <w:color w:val="auto"/>
                <w:sz w:val="24"/>
                <w:szCs w:val="24"/>
                <w:highlight w:val="none"/>
              </w:rPr>
              <w:t>分</w:t>
            </w:r>
          </w:p>
        </w:tc>
      </w:tr>
      <w:tr w14:paraId="013F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15" w:type="dxa"/>
            <w:vMerge w:val="continue"/>
            <w:noWrap w:val="0"/>
            <w:vAlign w:val="center"/>
          </w:tcPr>
          <w:p w14:paraId="64F0CB60">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vMerge w:val="restart"/>
            <w:noWrap w:val="0"/>
            <w:vAlign w:val="center"/>
          </w:tcPr>
          <w:p w14:paraId="6782A634">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4</w:t>
            </w:r>
          </w:p>
        </w:tc>
        <w:tc>
          <w:tcPr>
            <w:tcW w:w="2460" w:type="dxa"/>
            <w:vMerge w:val="restart"/>
            <w:noWrap w:val="0"/>
            <w:vAlign w:val="center"/>
          </w:tcPr>
          <w:p w14:paraId="11C35F40">
            <w:pPr>
              <w:keepNext w:val="0"/>
              <w:keepLines w:val="0"/>
              <w:suppressLineNumbers w:val="0"/>
              <w:spacing w:before="0" w:beforeAutospacing="0" w:after="0" w:afterAutospacing="0" w:line="240" w:lineRule="atLeast"/>
              <w:ind w:left="0" w:right="0"/>
              <w:jc w:val="center"/>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招标代理</w:t>
            </w:r>
            <w:r>
              <w:rPr>
                <w:rFonts w:hint="eastAsia" w:ascii="仿宋_GB2312" w:hAnsi="仿宋" w:eastAsia="仿宋_GB2312" w:cs="宋体"/>
                <w:color w:val="auto"/>
                <w:sz w:val="24"/>
                <w:szCs w:val="24"/>
                <w:highlight w:val="none"/>
                <w:lang w:eastAsia="zh-CN"/>
              </w:rPr>
              <w:t>、</w:t>
            </w:r>
            <w:r>
              <w:rPr>
                <w:rFonts w:hint="eastAsia" w:ascii="仿宋_GB2312" w:hAnsi="仿宋" w:eastAsia="仿宋_GB2312" w:cs="宋体"/>
                <w:color w:val="auto"/>
                <w:sz w:val="24"/>
                <w:szCs w:val="24"/>
                <w:highlight w:val="none"/>
                <w:lang w:val="en-US" w:eastAsia="zh-CN"/>
              </w:rPr>
              <w:t>造价咨询</w:t>
            </w:r>
            <w:r>
              <w:rPr>
                <w:rFonts w:hint="eastAsia" w:ascii="仿宋_GB2312" w:hAnsi="仿宋" w:eastAsia="仿宋_GB2312" w:cs="宋体"/>
                <w:color w:val="auto"/>
                <w:sz w:val="24"/>
                <w:szCs w:val="24"/>
                <w:highlight w:val="none"/>
              </w:rPr>
              <w:t>投入人员的资历、业绩情况</w:t>
            </w:r>
          </w:p>
        </w:tc>
        <w:tc>
          <w:tcPr>
            <w:tcW w:w="5290" w:type="dxa"/>
            <w:noWrap w:val="0"/>
            <w:vAlign w:val="center"/>
          </w:tcPr>
          <w:p w14:paraId="4E5C1BA5">
            <w:pPr>
              <w:keepNext w:val="0"/>
              <w:keepLines w:val="0"/>
              <w:suppressLineNumbers w:val="0"/>
              <w:spacing w:before="0" w:beforeAutospacing="0" w:after="0" w:afterAutospacing="0" w:line="240" w:lineRule="exact"/>
              <w:ind w:left="0" w:right="0"/>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本项目的项目负责人：（1）具备工程类高级工程师以上职称得1分；国家一级注册造价师的得2分；</w:t>
            </w:r>
          </w:p>
        </w:tc>
        <w:tc>
          <w:tcPr>
            <w:tcW w:w="1001" w:type="dxa"/>
            <w:noWrap w:val="0"/>
            <w:vAlign w:val="center"/>
          </w:tcPr>
          <w:p w14:paraId="6871BC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仿宋_GB2312" w:hAnsi="宋体" w:eastAsia="仿宋_GB2312" w:cs="宋体"/>
                <w:color w:val="auto"/>
                <w:sz w:val="24"/>
                <w:szCs w:val="24"/>
                <w:highlight w:val="none"/>
                <w:lang w:val="en-US" w:eastAsia="zh-CN"/>
              </w:rPr>
            </w:pPr>
            <w:r>
              <w:rPr>
                <w:rFonts w:hint="eastAsia" w:ascii="仿宋_GB2312" w:hAnsi="宋体" w:eastAsia="仿宋_GB2312" w:cs="宋体"/>
                <w:color w:val="auto"/>
                <w:sz w:val="24"/>
                <w:szCs w:val="24"/>
                <w:highlight w:val="none"/>
                <w:lang w:val="en-US" w:eastAsia="zh-CN"/>
              </w:rPr>
              <w:t>0-3分</w:t>
            </w:r>
          </w:p>
        </w:tc>
      </w:tr>
      <w:tr w14:paraId="2B58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5" w:type="dxa"/>
            <w:vMerge w:val="continue"/>
            <w:noWrap w:val="0"/>
            <w:vAlign w:val="center"/>
          </w:tcPr>
          <w:p w14:paraId="57ACF7FC">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vMerge w:val="continue"/>
            <w:noWrap w:val="0"/>
            <w:vAlign w:val="center"/>
          </w:tcPr>
          <w:p w14:paraId="5946C79A">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p>
        </w:tc>
        <w:tc>
          <w:tcPr>
            <w:tcW w:w="2460" w:type="dxa"/>
            <w:vMerge w:val="continue"/>
            <w:noWrap w:val="0"/>
            <w:vAlign w:val="center"/>
          </w:tcPr>
          <w:p w14:paraId="61A9D4E1">
            <w:pPr>
              <w:keepNext w:val="0"/>
              <w:keepLines w:val="0"/>
              <w:suppressLineNumbers w:val="0"/>
              <w:spacing w:before="0" w:beforeAutospacing="0" w:after="0" w:afterAutospacing="0" w:line="240" w:lineRule="atLeast"/>
              <w:ind w:left="0" w:right="0"/>
              <w:jc w:val="center"/>
              <w:rPr>
                <w:rFonts w:hint="eastAsia" w:ascii="仿宋_GB2312" w:hAnsi="仿宋" w:eastAsia="仿宋_GB2312" w:cs="宋体"/>
                <w:color w:val="auto"/>
                <w:sz w:val="24"/>
                <w:szCs w:val="24"/>
                <w:highlight w:val="none"/>
              </w:rPr>
            </w:pPr>
          </w:p>
        </w:tc>
        <w:tc>
          <w:tcPr>
            <w:tcW w:w="5290" w:type="dxa"/>
            <w:noWrap w:val="0"/>
            <w:vAlign w:val="center"/>
          </w:tcPr>
          <w:p w14:paraId="186BE459">
            <w:pPr>
              <w:keepNext w:val="0"/>
              <w:keepLines w:val="0"/>
              <w:suppressLineNumbers w:val="0"/>
              <w:spacing w:before="0" w:beforeAutospacing="0" w:after="0" w:afterAutospacing="0" w:line="240" w:lineRule="exact"/>
              <w:ind w:left="0" w:right="0"/>
              <w:rPr>
                <w:rFonts w:hint="default" w:ascii="仿宋_GB2312" w:hAnsi="仿宋" w:eastAsia="仿宋_GB2312"/>
                <w:color w:val="auto"/>
                <w:sz w:val="24"/>
                <w:szCs w:val="24"/>
                <w:highlight w:val="none"/>
                <w:lang w:val="en-US" w:eastAsia="zh-CN"/>
              </w:rPr>
            </w:pPr>
            <w:r>
              <w:rPr>
                <w:rFonts w:hint="default" w:ascii="仿宋_GB2312" w:hAnsi="仿宋" w:eastAsia="仿宋_GB2312"/>
                <w:color w:val="auto"/>
                <w:sz w:val="24"/>
                <w:szCs w:val="24"/>
                <w:highlight w:val="none"/>
                <w:lang w:val="en-US" w:eastAsia="zh-CN"/>
              </w:rPr>
              <w:t>除项目负责人以外的取得</w:t>
            </w:r>
            <w:r>
              <w:rPr>
                <w:rFonts w:hint="eastAsia" w:ascii="仿宋_GB2312" w:hAnsi="仿宋" w:eastAsia="仿宋_GB2312"/>
                <w:color w:val="auto"/>
                <w:sz w:val="24"/>
                <w:szCs w:val="24"/>
                <w:highlight w:val="none"/>
                <w:lang w:val="en-US" w:eastAsia="zh-CN"/>
              </w:rPr>
              <w:t>国家注册造价师</w:t>
            </w:r>
            <w:r>
              <w:rPr>
                <w:rFonts w:hint="default" w:ascii="仿宋_GB2312" w:hAnsi="仿宋" w:eastAsia="仿宋_GB2312"/>
                <w:color w:val="auto"/>
                <w:sz w:val="24"/>
                <w:szCs w:val="24"/>
                <w:highlight w:val="none"/>
                <w:lang w:val="en-US" w:eastAsia="zh-CN"/>
              </w:rPr>
              <w:t>的，每有1名得</w:t>
            </w:r>
            <w:r>
              <w:rPr>
                <w:rFonts w:hint="eastAsia" w:ascii="仿宋_GB2312" w:hAnsi="仿宋" w:eastAsia="仿宋_GB2312"/>
                <w:color w:val="auto"/>
                <w:sz w:val="24"/>
                <w:szCs w:val="24"/>
                <w:highlight w:val="none"/>
                <w:lang w:val="en-US" w:eastAsia="zh-CN"/>
              </w:rPr>
              <w:t>2</w:t>
            </w:r>
            <w:r>
              <w:rPr>
                <w:rFonts w:hint="default" w:ascii="仿宋_GB2312" w:hAnsi="仿宋" w:eastAsia="仿宋_GB2312"/>
                <w:color w:val="auto"/>
                <w:sz w:val="24"/>
                <w:szCs w:val="24"/>
                <w:highlight w:val="none"/>
                <w:lang w:val="en-US" w:eastAsia="zh-CN"/>
              </w:rPr>
              <w:t>分，最高得</w:t>
            </w:r>
            <w:r>
              <w:rPr>
                <w:rFonts w:hint="eastAsia" w:ascii="仿宋_GB2312" w:hAnsi="仿宋" w:eastAsia="仿宋_GB2312"/>
                <w:color w:val="auto"/>
                <w:sz w:val="24"/>
                <w:szCs w:val="24"/>
                <w:highlight w:val="none"/>
                <w:lang w:val="en-US" w:eastAsia="zh-CN"/>
              </w:rPr>
              <w:t>8</w:t>
            </w:r>
            <w:r>
              <w:rPr>
                <w:rFonts w:hint="default" w:ascii="仿宋_GB2312" w:hAnsi="仿宋" w:eastAsia="仿宋_GB2312"/>
                <w:color w:val="auto"/>
                <w:sz w:val="24"/>
                <w:szCs w:val="24"/>
                <w:highlight w:val="none"/>
                <w:lang w:val="en-US" w:eastAsia="zh-CN"/>
              </w:rPr>
              <w:t>分；没有的不得分。（提供项目组成员清单、相关证书复印件、社保缴纳记录</w:t>
            </w:r>
            <w:r>
              <w:rPr>
                <w:rFonts w:hint="eastAsia" w:ascii="仿宋_GB2312" w:hAnsi="仿宋" w:eastAsia="仿宋_GB2312"/>
                <w:color w:val="auto"/>
                <w:sz w:val="24"/>
                <w:szCs w:val="24"/>
                <w:highlight w:val="none"/>
                <w:lang w:val="en-US" w:eastAsia="zh-CN"/>
              </w:rPr>
              <w:t>（要求在本单位供职1年以上）</w:t>
            </w:r>
            <w:r>
              <w:rPr>
                <w:rFonts w:hint="default" w:ascii="仿宋_GB2312" w:hAnsi="仿宋" w:eastAsia="仿宋_GB2312"/>
                <w:color w:val="auto"/>
                <w:sz w:val="24"/>
                <w:szCs w:val="24"/>
                <w:highlight w:val="none"/>
                <w:lang w:val="en-US" w:eastAsia="zh-CN"/>
              </w:rPr>
              <w:t>并加盖公章，否则不得分。</w:t>
            </w:r>
          </w:p>
        </w:tc>
        <w:tc>
          <w:tcPr>
            <w:tcW w:w="1001" w:type="dxa"/>
            <w:noWrap w:val="0"/>
            <w:vAlign w:val="center"/>
          </w:tcPr>
          <w:p w14:paraId="0879A4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0-</w:t>
            </w:r>
            <w:r>
              <w:rPr>
                <w:rFonts w:hint="eastAsia" w:ascii="仿宋_GB2312" w:hAnsi="宋体" w:eastAsia="仿宋_GB2312" w:cs="宋体"/>
                <w:color w:val="auto"/>
                <w:sz w:val="24"/>
                <w:szCs w:val="24"/>
                <w:highlight w:val="none"/>
                <w:lang w:val="en-US" w:eastAsia="zh-CN"/>
              </w:rPr>
              <w:t>8</w:t>
            </w:r>
            <w:r>
              <w:rPr>
                <w:rFonts w:hint="eastAsia" w:ascii="仿宋_GB2312" w:hAnsi="宋体" w:eastAsia="仿宋_GB2312" w:cs="宋体"/>
                <w:color w:val="auto"/>
                <w:sz w:val="24"/>
                <w:szCs w:val="24"/>
                <w:highlight w:val="none"/>
              </w:rPr>
              <w:t>分</w:t>
            </w:r>
          </w:p>
        </w:tc>
      </w:tr>
      <w:tr w14:paraId="7F7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5" w:type="dxa"/>
            <w:vMerge w:val="continue"/>
            <w:noWrap w:val="0"/>
            <w:vAlign w:val="center"/>
          </w:tcPr>
          <w:p w14:paraId="240102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olor w:val="auto"/>
                <w:sz w:val="24"/>
                <w:szCs w:val="24"/>
                <w:highlight w:val="none"/>
              </w:rPr>
            </w:pPr>
          </w:p>
        </w:tc>
        <w:tc>
          <w:tcPr>
            <w:tcW w:w="506" w:type="dxa"/>
            <w:vMerge w:val="continue"/>
            <w:noWrap w:val="0"/>
            <w:vAlign w:val="center"/>
          </w:tcPr>
          <w:p w14:paraId="04BFD4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olor w:val="auto"/>
                <w:sz w:val="24"/>
                <w:szCs w:val="24"/>
                <w:highlight w:val="none"/>
              </w:rPr>
            </w:pPr>
          </w:p>
        </w:tc>
        <w:tc>
          <w:tcPr>
            <w:tcW w:w="2460" w:type="dxa"/>
            <w:vMerge w:val="continue"/>
            <w:noWrap w:val="0"/>
            <w:vAlign w:val="center"/>
          </w:tcPr>
          <w:p w14:paraId="585F51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olor w:val="auto"/>
                <w:sz w:val="24"/>
                <w:szCs w:val="24"/>
                <w:highlight w:val="none"/>
              </w:rPr>
            </w:pPr>
          </w:p>
        </w:tc>
        <w:tc>
          <w:tcPr>
            <w:tcW w:w="5290" w:type="dxa"/>
            <w:noWrap w:val="0"/>
            <w:vAlign w:val="center"/>
          </w:tcPr>
          <w:p w14:paraId="7F66A624">
            <w:pPr>
              <w:keepNext w:val="0"/>
              <w:keepLines w:val="0"/>
              <w:suppressLineNumbers w:val="0"/>
              <w:snapToGrid w:val="0"/>
              <w:spacing w:before="0" w:beforeAutospacing="0" w:after="0" w:afterAutospacing="0"/>
              <w:ind w:left="0" w:leftChars="0" w:right="0" w:rightChars="0"/>
              <w:jc w:val="left"/>
              <w:rPr>
                <w:rFonts w:hint="default" w:ascii="仿宋_GB2312" w:hAnsi="仿宋" w:eastAsia="仿宋_GB2312"/>
                <w:color w:val="auto"/>
                <w:sz w:val="24"/>
                <w:szCs w:val="24"/>
                <w:highlight w:val="none"/>
                <w:lang w:val="en-US" w:eastAsia="zh-CN"/>
              </w:rPr>
            </w:pPr>
            <w:bookmarkStart w:id="13" w:name="OLE_LINK9"/>
            <w:r>
              <w:rPr>
                <w:rFonts w:hint="eastAsia" w:ascii="仿宋_GB2312" w:hAnsi="仿宋" w:eastAsia="仿宋_GB2312"/>
                <w:color w:val="auto"/>
                <w:sz w:val="24"/>
                <w:szCs w:val="24"/>
                <w:highlight w:val="none"/>
                <w:lang w:val="en-US" w:eastAsia="zh-CN"/>
              </w:rPr>
              <w:t>项目负责人</w:t>
            </w:r>
            <w:bookmarkEnd w:id="13"/>
            <w:r>
              <w:rPr>
                <w:rFonts w:hint="eastAsia" w:ascii="仿宋_GB2312" w:hAnsi="仿宋" w:eastAsia="仿宋_GB2312"/>
                <w:color w:val="auto"/>
                <w:sz w:val="24"/>
                <w:szCs w:val="24"/>
                <w:highlight w:val="none"/>
                <w:lang w:val="en-US" w:eastAsia="zh-CN"/>
              </w:rPr>
              <w:t>业绩：承接过医院且概算金额大于3000万元招标代理的项目，每提供1份代理协议加2分，最高不超过6分。同一业主的合同只算一个。需提供协议复印件需体现项目负责人信息，原件备查。</w:t>
            </w:r>
          </w:p>
        </w:tc>
        <w:tc>
          <w:tcPr>
            <w:tcW w:w="1001" w:type="dxa"/>
            <w:noWrap w:val="0"/>
            <w:vAlign w:val="center"/>
          </w:tcPr>
          <w:p w14:paraId="601D67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0-6分</w:t>
            </w:r>
          </w:p>
        </w:tc>
      </w:tr>
      <w:tr w14:paraId="5748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noWrap w:val="0"/>
            <w:vAlign w:val="center"/>
          </w:tcPr>
          <w:p w14:paraId="1DE7DDEB">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4052DF8B">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lang w:val="en-US" w:eastAsia="zh-CN"/>
              </w:rPr>
              <w:t>5</w:t>
            </w:r>
          </w:p>
        </w:tc>
        <w:tc>
          <w:tcPr>
            <w:tcW w:w="2460" w:type="dxa"/>
            <w:noWrap w:val="0"/>
            <w:vAlign w:val="center"/>
          </w:tcPr>
          <w:p w14:paraId="2EF1AC27">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招标代理的质量及进度是否科学合理及保证措施是否考虑到位</w:t>
            </w:r>
          </w:p>
        </w:tc>
        <w:tc>
          <w:tcPr>
            <w:tcW w:w="5290" w:type="dxa"/>
            <w:noWrap w:val="0"/>
            <w:vAlign w:val="center"/>
          </w:tcPr>
          <w:p w14:paraId="799C6BCF">
            <w:pPr>
              <w:keepNext w:val="0"/>
              <w:keepLines w:val="0"/>
              <w:suppressLineNumbers w:val="0"/>
              <w:spacing w:before="0" w:beforeAutospacing="0" w:after="0" w:afterAutospacing="0" w:line="240" w:lineRule="atLeast"/>
              <w:ind w:left="0" w:right="0"/>
              <w:rPr>
                <w:rFonts w:hint="eastAsia" w:ascii="仿宋_GB2312" w:hAnsi="仿宋" w:eastAsia="仿宋_GB2312" w:cs="宋体"/>
                <w:color w:val="auto"/>
                <w:sz w:val="24"/>
                <w:szCs w:val="24"/>
                <w:highlight w:val="none"/>
              </w:rPr>
            </w:pPr>
            <w:r>
              <w:rPr>
                <w:rFonts w:hint="eastAsia" w:ascii="仿宋_GB2312" w:hAnsi="仿宋" w:eastAsia="仿宋_GB2312"/>
                <w:color w:val="auto"/>
                <w:sz w:val="24"/>
                <w:szCs w:val="24"/>
                <w:highlight w:val="none"/>
              </w:rPr>
              <w:t>根据各投标单位服务响应能力，办公地点，服务响应时间及熟悉本地化政策等方面考虑。</w:t>
            </w:r>
          </w:p>
        </w:tc>
        <w:tc>
          <w:tcPr>
            <w:tcW w:w="1001" w:type="dxa"/>
            <w:noWrap w:val="0"/>
            <w:vAlign w:val="center"/>
          </w:tcPr>
          <w:p w14:paraId="18B397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lang w:val="en-US" w:eastAsia="zh-CN"/>
              </w:rPr>
              <w:t>0-4</w:t>
            </w:r>
            <w:r>
              <w:rPr>
                <w:rFonts w:hint="eastAsia" w:ascii="仿宋_GB2312" w:hAnsi="宋体" w:eastAsia="仿宋_GB2312" w:cs="宋体"/>
                <w:color w:val="auto"/>
                <w:sz w:val="24"/>
                <w:szCs w:val="24"/>
                <w:highlight w:val="none"/>
              </w:rPr>
              <w:t>分</w:t>
            </w:r>
          </w:p>
        </w:tc>
      </w:tr>
      <w:tr w14:paraId="5E6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noWrap w:val="0"/>
            <w:vAlign w:val="center"/>
          </w:tcPr>
          <w:p w14:paraId="6D1D6D7B">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2FF3C09A">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lang w:val="en-US" w:eastAsia="zh-CN"/>
              </w:rPr>
              <w:t>6</w:t>
            </w:r>
          </w:p>
        </w:tc>
        <w:tc>
          <w:tcPr>
            <w:tcW w:w="2460" w:type="dxa"/>
            <w:noWrap w:val="0"/>
            <w:vAlign w:val="center"/>
          </w:tcPr>
          <w:p w14:paraId="45858BF1">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机构内部质量控制体系（内部管理制度等）</w:t>
            </w:r>
          </w:p>
        </w:tc>
        <w:tc>
          <w:tcPr>
            <w:tcW w:w="5290" w:type="dxa"/>
            <w:noWrap w:val="0"/>
            <w:vAlign w:val="center"/>
          </w:tcPr>
          <w:p w14:paraId="4C45A1E4">
            <w:pPr>
              <w:keepNext w:val="0"/>
              <w:keepLines w:val="0"/>
              <w:suppressLineNumbers w:val="0"/>
              <w:spacing w:before="0" w:beforeAutospacing="0" w:after="0" w:afterAutospacing="0" w:line="240" w:lineRule="exact"/>
              <w:ind w:left="0" w:right="0"/>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质量控制体系以机构提供机构文件、业务及分工、人事、财务、档案管理等管理制度为依据判断，若没明确制度的，但能够有一些材料证明其采取了一些质量控制措施或方法的</w:t>
            </w:r>
            <w:r>
              <w:rPr>
                <w:rFonts w:hint="eastAsia" w:ascii="仿宋_GB2312" w:hAnsi="仿宋" w:eastAsia="仿宋_GB2312"/>
                <w:color w:val="auto"/>
                <w:sz w:val="24"/>
                <w:szCs w:val="24"/>
                <w:highlight w:val="none"/>
                <w:lang w:eastAsia="zh-CN"/>
              </w:rPr>
              <w:t>。</w:t>
            </w:r>
          </w:p>
        </w:tc>
        <w:tc>
          <w:tcPr>
            <w:tcW w:w="1001" w:type="dxa"/>
            <w:noWrap w:val="0"/>
            <w:vAlign w:val="center"/>
          </w:tcPr>
          <w:p w14:paraId="48C3B0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lang w:val="en-US" w:eastAsia="zh-CN"/>
              </w:rPr>
              <w:t>0-</w:t>
            </w:r>
            <w:r>
              <w:rPr>
                <w:rFonts w:hint="eastAsia" w:ascii="仿宋_GB2312" w:hAnsi="宋体" w:eastAsia="仿宋_GB2312" w:cs="宋体"/>
                <w:color w:val="auto"/>
                <w:sz w:val="24"/>
                <w:szCs w:val="24"/>
                <w:highlight w:val="none"/>
              </w:rPr>
              <w:t>1</w:t>
            </w:r>
            <w:r>
              <w:rPr>
                <w:rFonts w:hint="eastAsia" w:ascii="仿宋_GB2312" w:hAnsi="宋体" w:eastAsia="仿宋_GB2312" w:cs="宋体"/>
                <w:color w:val="auto"/>
                <w:sz w:val="24"/>
                <w:szCs w:val="24"/>
                <w:highlight w:val="none"/>
                <w:lang w:val="en-US" w:eastAsia="zh-CN"/>
              </w:rPr>
              <w:t>2</w:t>
            </w:r>
            <w:r>
              <w:rPr>
                <w:rFonts w:hint="eastAsia" w:ascii="仿宋_GB2312" w:hAnsi="宋体" w:eastAsia="仿宋_GB2312" w:cs="宋体"/>
                <w:color w:val="auto"/>
                <w:sz w:val="24"/>
                <w:szCs w:val="24"/>
                <w:highlight w:val="none"/>
              </w:rPr>
              <w:t>分</w:t>
            </w:r>
          </w:p>
        </w:tc>
      </w:tr>
      <w:tr w14:paraId="4F11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5" w:type="dxa"/>
            <w:vMerge w:val="continue"/>
            <w:noWrap w:val="0"/>
            <w:vAlign w:val="center"/>
          </w:tcPr>
          <w:p w14:paraId="56FBAF28">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64CE2416">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lang w:val="en-US" w:eastAsia="zh-CN"/>
              </w:rPr>
              <w:t>7</w:t>
            </w:r>
          </w:p>
        </w:tc>
        <w:tc>
          <w:tcPr>
            <w:tcW w:w="2460" w:type="dxa"/>
            <w:noWrap w:val="0"/>
            <w:vAlign w:val="center"/>
          </w:tcPr>
          <w:p w14:paraId="13191312">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招标代理过程与各方的沟通的保证措施，投诉处理方案</w:t>
            </w:r>
          </w:p>
        </w:tc>
        <w:tc>
          <w:tcPr>
            <w:tcW w:w="5290" w:type="dxa"/>
            <w:noWrap w:val="0"/>
            <w:vAlign w:val="center"/>
          </w:tcPr>
          <w:p w14:paraId="0CAACC47">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宋体" w:eastAsia="仿宋_GB2312"/>
                <w:color w:val="auto"/>
                <w:sz w:val="24"/>
                <w:szCs w:val="24"/>
                <w:highlight w:val="none"/>
                <w:lang w:val="en-US" w:eastAsia="zh-CN"/>
              </w:rPr>
              <w:t>根据投标文件响应情况，</w:t>
            </w:r>
            <w:r>
              <w:rPr>
                <w:rFonts w:hint="eastAsia" w:ascii="仿宋" w:hAnsi="仿宋" w:eastAsia="仿宋" w:cs="宋体"/>
                <w:color w:val="auto"/>
                <w:sz w:val="24"/>
                <w:szCs w:val="24"/>
                <w:highlight w:val="none"/>
              </w:rPr>
              <w:t>酌情打分</w:t>
            </w: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3</w:t>
            </w:r>
            <w:r>
              <w:rPr>
                <w:rFonts w:hint="eastAsia" w:ascii="仿宋_GB2312" w:hAnsi="仿宋" w:eastAsia="仿宋_GB2312" w:cs="宋体"/>
                <w:color w:val="auto"/>
                <w:sz w:val="24"/>
                <w:szCs w:val="24"/>
                <w:highlight w:val="none"/>
              </w:rPr>
              <w:t>分</w:t>
            </w:r>
          </w:p>
        </w:tc>
        <w:tc>
          <w:tcPr>
            <w:tcW w:w="1001" w:type="dxa"/>
            <w:noWrap w:val="0"/>
            <w:vAlign w:val="center"/>
          </w:tcPr>
          <w:p w14:paraId="1EF774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3</w:t>
            </w:r>
            <w:r>
              <w:rPr>
                <w:rFonts w:hint="eastAsia" w:ascii="仿宋_GB2312" w:hAnsi="仿宋" w:eastAsia="仿宋_GB2312" w:cs="宋体"/>
                <w:color w:val="auto"/>
                <w:sz w:val="24"/>
                <w:szCs w:val="24"/>
                <w:highlight w:val="none"/>
              </w:rPr>
              <w:t>分</w:t>
            </w:r>
          </w:p>
        </w:tc>
      </w:tr>
      <w:tr w14:paraId="09F8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15" w:type="dxa"/>
            <w:vMerge w:val="continue"/>
            <w:noWrap w:val="0"/>
            <w:vAlign w:val="center"/>
          </w:tcPr>
          <w:p w14:paraId="7F91E5BE">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6C40B1C4">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lang w:val="en-US" w:eastAsia="zh-CN"/>
              </w:rPr>
              <w:t>8</w:t>
            </w:r>
          </w:p>
        </w:tc>
        <w:tc>
          <w:tcPr>
            <w:tcW w:w="2460" w:type="dxa"/>
            <w:noWrap w:val="0"/>
            <w:vAlign w:val="center"/>
          </w:tcPr>
          <w:p w14:paraId="7BCA9B5F">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确保招标代理资料的合法性、完整性与及时性保证措施</w:t>
            </w:r>
          </w:p>
        </w:tc>
        <w:tc>
          <w:tcPr>
            <w:tcW w:w="5290" w:type="dxa"/>
            <w:noWrap w:val="0"/>
            <w:vAlign w:val="center"/>
          </w:tcPr>
          <w:p w14:paraId="25543C77">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宋体" w:eastAsia="仿宋_GB2312"/>
                <w:color w:val="auto"/>
                <w:sz w:val="24"/>
                <w:szCs w:val="24"/>
                <w:highlight w:val="none"/>
                <w:lang w:val="en-US" w:eastAsia="zh-CN"/>
              </w:rPr>
              <w:t>根据投标文件响应情况，</w:t>
            </w:r>
            <w:r>
              <w:rPr>
                <w:rFonts w:hint="eastAsia" w:ascii="仿宋" w:hAnsi="仿宋" w:eastAsia="仿宋" w:cs="宋体"/>
                <w:color w:val="auto"/>
                <w:sz w:val="24"/>
                <w:szCs w:val="24"/>
                <w:highlight w:val="none"/>
              </w:rPr>
              <w:t>酌情打分</w:t>
            </w: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3</w:t>
            </w:r>
            <w:r>
              <w:rPr>
                <w:rFonts w:hint="eastAsia" w:ascii="仿宋_GB2312" w:hAnsi="仿宋" w:eastAsia="仿宋_GB2312" w:cs="宋体"/>
                <w:color w:val="auto"/>
                <w:sz w:val="24"/>
                <w:szCs w:val="24"/>
                <w:highlight w:val="none"/>
              </w:rPr>
              <w:t>分</w:t>
            </w:r>
          </w:p>
        </w:tc>
        <w:tc>
          <w:tcPr>
            <w:tcW w:w="1001" w:type="dxa"/>
            <w:noWrap w:val="0"/>
            <w:vAlign w:val="center"/>
          </w:tcPr>
          <w:p w14:paraId="6A8F3E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3</w:t>
            </w:r>
            <w:r>
              <w:rPr>
                <w:rFonts w:hint="eastAsia" w:ascii="仿宋_GB2312" w:hAnsi="仿宋" w:eastAsia="仿宋_GB2312" w:cs="宋体"/>
                <w:color w:val="auto"/>
                <w:sz w:val="24"/>
                <w:szCs w:val="24"/>
                <w:highlight w:val="none"/>
              </w:rPr>
              <w:t>分</w:t>
            </w:r>
          </w:p>
        </w:tc>
      </w:tr>
      <w:tr w14:paraId="64F3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15" w:type="dxa"/>
            <w:vMerge w:val="continue"/>
            <w:noWrap w:val="0"/>
            <w:vAlign w:val="center"/>
          </w:tcPr>
          <w:p w14:paraId="6E6C1853">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20A605CD">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lang w:eastAsia="zh-CN"/>
              </w:rPr>
            </w:pPr>
            <w:r>
              <w:rPr>
                <w:rFonts w:hint="eastAsia" w:ascii="仿宋_GB2312" w:hAnsi="宋体" w:eastAsia="仿宋_GB2312" w:cs="宋体"/>
                <w:bCs/>
                <w:color w:val="auto"/>
                <w:kern w:val="0"/>
                <w:sz w:val="24"/>
                <w:szCs w:val="24"/>
                <w:highlight w:val="none"/>
                <w:lang w:val="en-US" w:eastAsia="zh-CN"/>
              </w:rPr>
              <w:t>9</w:t>
            </w:r>
          </w:p>
        </w:tc>
        <w:tc>
          <w:tcPr>
            <w:tcW w:w="2460" w:type="dxa"/>
            <w:noWrap w:val="0"/>
            <w:vAlign w:val="center"/>
          </w:tcPr>
          <w:p w14:paraId="764DA371">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仿宋" w:eastAsia="仿宋_GB2312" w:cs="宋体"/>
                <w:color w:val="auto"/>
                <w:sz w:val="24"/>
                <w:szCs w:val="24"/>
                <w:highlight w:val="none"/>
              </w:rPr>
              <w:t>确保招标代理从业人员廉政建设的保证措施</w:t>
            </w:r>
          </w:p>
        </w:tc>
        <w:tc>
          <w:tcPr>
            <w:tcW w:w="5290" w:type="dxa"/>
            <w:noWrap w:val="0"/>
            <w:vAlign w:val="center"/>
          </w:tcPr>
          <w:p w14:paraId="2F35BA47">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宋体" w:eastAsia="仿宋_GB2312"/>
                <w:color w:val="auto"/>
                <w:sz w:val="24"/>
                <w:szCs w:val="24"/>
                <w:highlight w:val="none"/>
                <w:lang w:val="en-US" w:eastAsia="zh-CN"/>
              </w:rPr>
              <w:t>根据投标文件响应情况，</w:t>
            </w:r>
            <w:r>
              <w:rPr>
                <w:rFonts w:hint="eastAsia" w:ascii="仿宋" w:hAnsi="仿宋" w:eastAsia="仿宋" w:cs="宋体"/>
                <w:color w:val="auto"/>
                <w:sz w:val="24"/>
                <w:szCs w:val="24"/>
                <w:highlight w:val="none"/>
              </w:rPr>
              <w:t>酌情打分</w:t>
            </w: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1</w:t>
            </w:r>
            <w:r>
              <w:rPr>
                <w:rFonts w:hint="eastAsia" w:ascii="仿宋_GB2312" w:hAnsi="仿宋" w:eastAsia="仿宋_GB2312" w:cs="宋体"/>
                <w:color w:val="auto"/>
                <w:sz w:val="24"/>
                <w:szCs w:val="24"/>
                <w:highlight w:val="none"/>
              </w:rPr>
              <w:t>分</w:t>
            </w:r>
          </w:p>
        </w:tc>
        <w:tc>
          <w:tcPr>
            <w:tcW w:w="1001" w:type="dxa"/>
            <w:noWrap w:val="0"/>
            <w:vAlign w:val="center"/>
          </w:tcPr>
          <w:p w14:paraId="5BA2A7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1</w:t>
            </w:r>
            <w:r>
              <w:rPr>
                <w:rFonts w:hint="eastAsia" w:ascii="仿宋_GB2312" w:hAnsi="仿宋" w:eastAsia="仿宋_GB2312" w:cs="宋体"/>
                <w:color w:val="auto"/>
                <w:sz w:val="24"/>
                <w:szCs w:val="24"/>
                <w:highlight w:val="none"/>
              </w:rPr>
              <w:t>分</w:t>
            </w:r>
          </w:p>
        </w:tc>
      </w:tr>
      <w:tr w14:paraId="07CD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15" w:type="dxa"/>
            <w:vMerge w:val="continue"/>
            <w:noWrap w:val="0"/>
            <w:vAlign w:val="center"/>
          </w:tcPr>
          <w:p w14:paraId="09E6C0D4">
            <w:pPr>
              <w:keepNext w:val="0"/>
              <w:keepLines w:val="0"/>
              <w:suppressLineNumbers w:val="0"/>
              <w:snapToGrid w:val="0"/>
              <w:spacing w:before="0" w:beforeAutospacing="0" w:after="0" w:afterAutospacing="0"/>
              <w:ind w:left="0" w:right="0"/>
              <w:jc w:val="center"/>
              <w:rPr>
                <w:rFonts w:hint="eastAsia" w:ascii="仿宋_GB2312" w:hAnsi="宋体" w:eastAsia="仿宋_GB2312" w:cs="宋体"/>
                <w:b/>
                <w:color w:val="auto"/>
                <w:sz w:val="24"/>
                <w:szCs w:val="24"/>
                <w:highlight w:val="none"/>
              </w:rPr>
            </w:pPr>
          </w:p>
        </w:tc>
        <w:tc>
          <w:tcPr>
            <w:tcW w:w="506" w:type="dxa"/>
            <w:noWrap w:val="0"/>
            <w:vAlign w:val="center"/>
          </w:tcPr>
          <w:p w14:paraId="4692B3BD">
            <w:pPr>
              <w:keepNext w:val="0"/>
              <w:keepLines w:val="0"/>
              <w:suppressLineNumbers w:val="0"/>
              <w:snapToGrid w:val="0"/>
              <w:spacing w:before="0" w:beforeAutospacing="0" w:after="0" w:afterAutospacing="0"/>
              <w:ind w:left="0" w:right="0"/>
              <w:jc w:val="center"/>
              <w:rPr>
                <w:rFonts w:hint="default" w:ascii="仿宋_GB2312" w:hAnsi="宋体" w:eastAsia="仿宋_GB2312" w:cs="宋体"/>
                <w:bCs/>
                <w:color w:val="auto"/>
                <w:kern w:val="0"/>
                <w:sz w:val="24"/>
                <w:szCs w:val="24"/>
                <w:highlight w:val="none"/>
                <w:lang w:val="en-US" w:eastAsia="zh-CN"/>
              </w:rPr>
            </w:pPr>
            <w:r>
              <w:rPr>
                <w:rFonts w:hint="eastAsia" w:ascii="仿宋_GB2312" w:hAnsi="宋体" w:eastAsia="仿宋_GB2312" w:cs="宋体"/>
                <w:bCs/>
                <w:color w:val="auto"/>
                <w:kern w:val="0"/>
                <w:sz w:val="24"/>
                <w:szCs w:val="24"/>
                <w:highlight w:val="none"/>
                <w:lang w:val="en-US" w:eastAsia="zh-CN"/>
              </w:rPr>
              <w:t>10</w:t>
            </w:r>
          </w:p>
        </w:tc>
        <w:tc>
          <w:tcPr>
            <w:tcW w:w="2460" w:type="dxa"/>
            <w:noWrap w:val="0"/>
            <w:vAlign w:val="center"/>
          </w:tcPr>
          <w:p w14:paraId="3E43ACC0">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lang w:eastAsia="zh-CN"/>
              </w:rPr>
            </w:pPr>
            <w:r>
              <w:rPr>
                <w:rFonts w:hint="eastAsia" w:ascii="仿宋_GB2312" w:hAnsi="仿宋" w:eastAsia="仿宋_GB2312" w:cs="宋体"/>
                <w:color w:val="auto"/>
                <w:sz w:val="24"/>
                <w:szCs w:val="24"/>
                <w:highlight w:val="none"/>
              </w:rPr>
              <w:t>投标文件编制质量（对招标要求的响应性和提交资料的完整性、规范性</w:t>
            </w:r>
            <w:r>
              <w:rPr>
                <w:rFonts w:hint="eastAsia" w:ascii="仿宋_GB2312" w:hAnsi="仿宋" w:eastAsia="仿宋_GB2312" w:cs="宋体"/>
                <w:color w:val="auto"/>
                <w:sz w:val="24"/>
                <w:szCs w:val="24"/>
                <w:highlight w:val="none"/>
                <w:lang w:eastAsia="zh-CN"/>
              </w:rPr>
              <w:t>）</w:t>
            </w:r>
          </w:p>
        </w:tc>
        <w:tc>
          <w:tcPr>
            <w:tcW w:w="5290" w:type="dxa"/>
            <w:noWrap w:val="0"/>
            <w:vAlign w:val="center"/>
          </w:tcPr>
          <w:p w14:paraId="5E113E37">
            <w:pPr>
              <w:keepNext w:val="0"/>
              <w:keepLines w:val="0"/>
              <w:suppressLineNumbers w:val="0"/>
              <w:spacing w:before="0" w:beforeAutospacing="0" w:after="0" w:afterAutospacing="0" w:line="240" w:lineRule="atLeast"/>
              <w:ind w:left="0" w:right="0"/>
              <w:jc w:val="left"/>
              <w:rPr>
                <w:rFonts w:hint="eastAsia" w:ascii="仿宋_GB2312" w:hAnsi="仿宋" w:eastAsia="仿宋_GB2312" w:cs="宋体"/>
                <w:color w:val="auto"/>
                <w:sz w:val="24"/>
                <w:szCs w:val="24"/>
                <w:highlight w:val="none"/>
              </w:rPr>
            </w:pPr>
            <w:r>
              <w:rPr>
                <w:rFonts w:hint="eastAsia" w:ascii="仿宋_GB2312" w:hAnsi="宋体" w:eastAsia="仿宋_GB2312"/>
                <w:color w:val="auto"/>
                <w:sz w:val="24"/>
                <w:szCs w:val="24"/>
                <w:highlight w:val="none"/>
                <w:lang w:val="en-US" w:eastAsia="zh-CN"/>
              </w:rPr>
              <w:t>根据投标文件响应情况，</w:t>
            </w:r>
            <w:r>
              <w:rPr>
                <w:rFonts w:hint="eastAsia" w:ascii="仿宋" w:hAnsi="仿宋" w:eastAsia="仿宋" w:cs="宋体"/>
                <w:color w:val="auto"/>
                <w:sz w:val="24"/>
                <w:szCs w:val="24"/>
                <w:highlight w:val="none"/>
              </w:rPr>
              <w:t>酌情打分</w:t>
            </w: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1</w:t>
            </w:r>
            <w:r>
              <w:rPr>
                <w:rFonts w:hint="eastAsia" w:ascii="仿宋_GB2312" w:hAnsi="仿宋" w:eastAsia="仿宋_GB2312" w:cs="宋体"/>
                <w:color w:val="auto"/>
                <w:sz w:val="24"/>
                <w:szCs w:val="24"/>
                <w:highlight w:val="none"/>
              </w:rPr>
              <w:t>分</w:t>
            </w:r>
          </w:p>
        </w:tc>
        <w:tc>
          <w:tcPr>
            <w:tcW w:w="1001" w:type="dxa"/>
            <w:noWrap w:val="0"/>
            <w:vAlign w:val="center"/>
          </w:tcPr>
          <w:p w14:paraId="0B380F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_GB2312" w:hAnsi="宋体" w:eastAsia="仿宋_GB2312" w:cs="宋体"/>
                <w:color w:val="auto"/>
                <w:sz w:val="24"/>
                <w:szCs w:val="24"/>
                <w:highlight w:val="none"/>
              </w:rPr>
            </w:pPr>
            <w:r>
              <w:rPr>
                <w:rFonts w:hint="eastAsia" w:ascii="仿宋_GB2312" w:hAnsi="仿宋" w:eastAsia="仿宋_GB2312" w:cs="宋体"/>
                <w:color w:val="auto"/>
                <w:sz w:val="24"/>
                <w:szCs w:val="24"/>
                <w:highlight w:val="none"/>
              </w:rPr>
              <w:t>0-</w:t>
            </w:r>
            <w:r>
              <w:rPr>
                <w:rFonts w:hint="eastAsia" w:ascii="仿宋_GB2312" w:hAnsi="仿宋" w:eastAsia="仿宋_GB2312" w:cs="宋体"/>
                <w:color w:val="auto"/>
                <w:sz w:val="24"/>
                <w:szCs w:val="24"/>
                <w:highlight w:val="none"/>
                <w:lang w:val="en-US" w:eastAsia="zh-CN"/>
              </w:rPr>
              <w:t>1</w:t>
            </w:r>
            <w:r>
              <w:rPr>
                <w:rFonts w:hint="eastAsia" w:ascii="仿宋_GB2312" w:hAnsi="仿宋" w:eastAsia="仿宋_GB2312" w:cs="宋体"/>
                <w:color w:val="auto"/>
                <w:sz w:val="24"/>
                <w:szCs w:val="24"/>
                <w:highlight w:val="none"/>
              </w:rPr>
              <w:t>分</w:t>
            </w:r>
          </w:p>
        </w:tc>
      </w:tr>
      <w:tr w14:paraId="7BC8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581" w:type="dxa"/>
            <w:gridSpan w:val="3"/>
            <w:noWrap w:val="0"/>
            <w:vAlign w:val="center"/>
          </w:tcPr>
          <w:p w14:paraId="63DD0992">
            <w:pPr>
              <w:keepNext w:val="0"/>
              <w:keepLines w:val="0"/>
              <w:suppressLineNumbers w:val="0"/>
              <w:snapToGrid w:val="0"/>
              <w:spacing w:before="0" w:beforeAutospacing="0" w:after="0" w:afterAutospacing="0"/>
              <w:ind w:left="0" w:right="0"/>
              <w:jc w:val="center"/>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总     计</w:t>
            </w:r>
          </w:p>
        </w:tc>
        <w:tc>
          <w:tcPr>
            <w:tcW w:w="5290" w:type="dxa"/>
            <w:noWrap w:val="0"/>
            <w:vAlign w:val="center"/>
          </w:tcPr>
          <w:p w14:paraId="559B5D2B">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 xml:space="preserve"> </w:t>
            </w:r>
          </w:p>
        </w:tc>
        <w:tc>
          <w:tcPr>
            <w:tcW w:w="1001" w:type="dxa"/>
            <w:noWrap w:val="0"/>
            <w:vAlign w:val="center"/>
          </w:tcPr>
          <w:p w14:paraId="1B7E4B17">
            <w:pPr>
              <w:keepNext w:val="0"/>
              <w:keepLines w:val="0"/>
              <w:suppressLineNumbers w:val="0"/>
              <w:snapToGrid w:val="0"/>
              <w:spacing w:before="0" w:beforeAutospacing="0" w:after="0" w:afterAutospacing="0"/>
              <w:ind w:left="0" w:right="0"/>
              <w:jc w:val="center"/>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lang w:val="en-US" w:eastAsia="zh-CN"/>
              </w:rPr>
              <w:t>70</w:t>
            </w:r>
            <w:r>
              <w:rPr>
                <w:rFonts w:hint="eastAsia" w:ascii="仿宋_GB2312" w:hAnsi="宋体" w:eastAsia="仿宋_GB2312" w:cs="宋体"/>
                <w:bCs/>
                <w:color w:val="auto"/>
                <w:kern w:val="0"/>
                <w:sz w:val="24"/>
                <w:szCs w:val="24"/>
                <w:highlight w:val="none"/>
              </w:rPr>
              <w:t>分</w:t>
            </w:r>
          </w:p>
        </w:tc>
      </w:tr>
    </w:tbl>
    <w:p w14:paraId="15750F5D">
      <w:pPr>
        <w:pStyle w:val="14"/>
        <w:rPr>
          <w:rFonts w:hint="eastAsia" w:ascii="仿宋" w:hAnsi="仿宋" w:eastAsia="仿宋"/>
          <w:color w:val="auto"/>
          <w:sz w:val="24"/>
          <w:highlight w:val="none"/>
          <w:lang w:eastAsia="zh-CN"/>
        </w:rPr>
      </w:pPr>
    </w:p>
    <w:p w14:paraId="004D3F33">
      <w:pPr>
        <w:adjustRightInd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w:t>
      </w:r>
      <w:r>
        <w:rPr>
          <w:rFonts w:ascii="仿宋" w:hAnsi="仿宋" w:eastAsia="仿宋"/>
          <w:color w:val="auto"/>
          <w:sz w:val="24"/>
          <w:highlight w:val="none"/>
        </w:rPr>
        <w:t>商务标详细评审（</w:t>
      </w:r>
      <w:r>
        <w:rPr>
          <w:rFonts w:hint="eastAsia" w:ascii="仿宋" w:hAnsi="仿宋" w:eastAsia="仿宋"/>
          <w:color w:val="auto"/>
          <w:sz w:val="24"/>
          <w:highlight w:val="none"/>
          <w:u w:val="single"/>
        </w:rPr>
        <w:t>30</w:t>
      </w:r>
      <w:r>
        <w:rPr>
          <w:rFonts w:ascii="仿宋" w:hAnsi="仿宋" w:eastAsia="仿宋"/>
          <w:color w:val="auto"/>
          <w:sz w:val="24"/>
          <w:highlight w:val="none"/>
        </w:rPr>
        <w:t>分）</w:t>
      </w:r>
    </w:p>
    <w:tbl>
      <w:tblPr>
        <w:tblStyle w:val="12"/>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771"/>
        <w:gridCol w:w="5320"/>
        <w:gridCol w:w="1108"/>
      </w:tblGrid>
      <w:tr w14:paraId="1BB8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9" w:type="dxa"/>
            <w:vAlign w:val="center"/>
          </w:tcPr>
          <w:p w14:paraId="2A6263E6">
            <w:pPr>
              <w:widowControl/>
              <w:spacing w:line="420" w:lineRule="atLeast"/>
              <w:jc w:val="center"/>
              <w:rPr>
                <w:rFonts w:ascii="仿宋" w:hAnsi="仿宋" w:eastAsia="仿宋" w:cs="宋体"/>
                <w:color w:val="auto"/>
                <w:kern w:val="0"/>
                <w:sz w:val="24"/>
                <w:szCs w:val="24"/>
                <w:highlight w:val="none"/>
                <w:vertAlign w:val="baseline"/>
              </w:rPr>
            </w:pPr>
          </w:p>
        </w:tc>
        <w:tc>
          <w:tcPr>
            <w:tcW w:w="2771" w:type="dxa"/>
            <w:vAlign w:val="center"/>
          </w:tcPr>
          <w:p w14:paraId="4B857B74">
            <w:pPr>
              <w:widowControl/>
              <w:spacing w:line="420" w:lineRule="atLeast"/>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价格分</w:t>
            </w:r>
          </w:p>
        </w:tc>
        <w:tc>
          <w:tcPr>
            <w:tcW w:w="5320" w:type="dxa"/>
            <w:vAlign w:val="center"/>
          </w:tcPr>
          <w:p w14:paraId="7C66104B">
            <w:pPr>
              <w:widowControl/>
              <w:spacing w:line="420" w:lineRule="atLeast"/>
              <w:jc w:val="center"/>
              <w:rPr>
                <w:rFonts w:ascii="仿宋" w:hAnsi="仿宋" w:eastAsia="仿宋" w:cs="宋体"/>
                <w:color w:val="auto"/>
                <w:kern w:val="0"/>
                <w:sz w:val="24"/>
                <w:szCs w:val="24"/>
                <w:highlight w:val="none"/>
                <w:vertAlign w:val="baseline"/>
              </w:rPr>
            </w:pPr>
          </w:p>
        </w:tc>
        <w:tc>
          <w:tcPr>
            <w:tcW w:w="1108" w:type="dxa"/>
            <w:vAlign w:val="center"/>
          </w:tcPr>
          <w:p w14:paraId="75D56125">
            <w:pPr>
              <w:widowControl/>
              <w:spacing w:line="420" w:lineRule="atLeast"/>
              <w:jc w:val="center"/>
              <w:rPr>
                <w:rFonts w:ascii="仿宋" w:hAnsi="仿宋" w:eastAsia="仿宋" w:cs="宋体"/>
                <w:color w:val="auto"/>
                <w:kern w:val="0"/>
                <w:sz w:val="24"/>
                <w:szCs w:val="24"/>
                <w:highlight w:val="none"/>
                <w:vertAlign w:val="baseline"/>
              </w:rPr>
            </w:pPr>
          </w:p>
        </w:tc>
      </w:tr>
      <w:tr w14:paraId="26B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99" w:type="dxa"/>
            <w:vMerge w:val="restart"/>
            <w:vAlign w:val="center"/>
          </w:tcPr>
          <w:p w14:paraId="787FCDD0">
            <w:pPr>
              <w:widowControl/>
              <w:spacing w:line="420" w:lineRule="atLeast"/>
              <w:jc w:val="center"/>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1</w:t>
            </w:r>
          </w:p>
        </w:tc>
        <w:tc>
          <w:tcPr>
            <w:tcW w:w="2771" w:type="dxa"/>
            <w:vMerge w:val="restart"/>
            <w:vAlign w:val="center"/>
          </w:tcPr>
          <w:p w14:paraId="1AC2D509">
            <w:pPr>
              <w:adjustRightInd w:val="0"/>
              <w:snapToGrid w:val="0"/>
              <w:jc w:val="both"/>
              <w:rPr>
                <w:rFonts w:ascii="仿宋" w:hAnsi="仿宋" w:eastAsia="仿宋" w:cs="宋体"/>
                <w:color w:val="auto"/>
                <w:kern w:val="0"/>
                <w:sz w:val="24"/>
                <w:szCs w:val="24"/>
                <w:highlight w:val="none"/>
                <w:vertAlign w:val="baseline"/>
              </w:rPr>
            </w:pPr>
            <w:r>
              <w:rPr>
                <w:rFonts w:hint="eastAsia" w:ascii="仿宋" w:hAnsi="仿宋" w:eastAsia="仿宋" w:cs="仿宋"/>
                <w:color w:val="auto"/>
                <w:spacing w:val="-6"/>
                <w:sz w:val="24"/>
                <w:szCs w:val="24"/>
                <w:highlight w:val="none"/>
                <w:lang w:val="en-US" w:eastAsia="zh-CN"/>
              </w:rPr>
              <w:t>投标</w:t>
            </w:r>
            <w:r>
              <w:rPr>
                <w:rFonts w:hint="eastAsia" w:ascii="仿宋" w:hAnsi="仿宋" w:eastAsia="仿宋" w:cs="仿宋"/>
                <w:color w:val="auto"/>
                <w:spacing w:val="-6"/>
                <w:sz w:val="24"/>
                <w:szCs w:val="24"/>
                <w:highlight w:val="none"/>
              </w:rPr>
              <w:t>报价</w:t>
            </w:r>
          </w:p>
        </w:tc>
        <w:tc>
          <w:tcPr>
            <w:tcW w:w="5320" w:type="dxa"/>
            <w:vAlign w:val="center"/>
          </w:tcPr>
          <w:p w14:paraId="67CF81BE">
            <w:pPr>
              <w:adjustRightInd w:val="0"/>
              <w:snapToGrid w:val="0"/>
              <w:jc w:val="both"/>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代理费：</w:t>
            </w:r>
            <w:r>
              <w:rPr>
                <w:rFonts w:hint="eastAsia" w:ascii="仿宋" w:hAnsi="仿宋" w:eastAsia="仿宋" w:cs="仿宋"/>
                <w:color w:val="auto"/>
                <w:spacing w:val="-6"/>
                <w:sz w:val="24"/>
                <w:szCs w:val="24"/>
                <w:highlight w:val="none"/>
              </w:rPr>
              <w:t>价格分采用低价优先法计算，即：满足招标文件要求且报价最低的</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的价格为评审基准价。价格分按照下列公式计算：</w:t>
            </w:r>
          </w:p>
          <w:p w14:paraId="0F9E548C">
            <w:pPr>
              <w:adjustRightInd w:val="0"/>
              <w:snapToGrid w:val="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价格分</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=（评标基准价/</w:t>
            </w:r>
            <w:r>
              <w:rPr>
                <w:rFonts w:hint="eastAsia" w:ascii="仿宋" w:hAnsi="仿宋" w:eastAsia="仿宋" w:cs="仿宋"/>
                <w:color w:val="auto"/>
                <w:spacing w:val="-6"/>
                <w:sz w:val="24"/>
                <w:szCs w:val="24"/>
                <w:highlight w:val="none"/>
                <w:lang w:val="en-US" w:eastAsia="zh-CN"/>
              </w:rPr>
              <w:t>投标</w:t>
            </w:r>
            <w:r>
              <w:rPr>
                <w:rFonts w:hint="eastAsia" w:ascii="仿宋" w:hAnsi="仿宋" w:eastAsia="仿宋" w:cs="仿宋"/>
                <w:color w:val="auto"/>
                <w:spacing w:val="-6"/>
                <w:sz w:val="24"/>
                <w:szCs w:val="24"/>
                <w:highlight w:val="none"/>
              </w:rPr>
              <w:t>报价）×</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%×100</w:t>
            </w:r>
          </w:p>
          <w:p w14:paraId="2366B796">
            <w:pPr>
              <w:adjustRightInd w:val="0"/>
              <w:snapToGrid w:val="0"/>
              <w:jc w:val="both"/>
              <w:rPr>
                <w:rFonts w:ascii="仿宋" w:hAnsi="仿宋" w:eastAsia="仿宋" w:cs="宋体"/>
                <w:color w:val="auto"/>
                <w:kern w:val="0"/>
                <w:sz w:val="24"/>
                <w:szCs w:val="24"/>
                <w:highlight w:val="none"/>
                <w:vertAlign w:val="baseline"/>
              </w:rPr>
            </w:pPr>
            <w:r>
              <w:rPr>
                <w:rFonts w:hint="eastAsia" w:ascii="仿宋" w:hAnsi="仿宋" w:eastAsia="仿宋" w:cs="仿宋"/>
                <w:color w:val="auto"/>
                <w:spacing w:val="-6"/>
                <w:sz w:val="24"/>
                <w:szCs w:val="24"/>
                <w:highlight w:val="none"/>
              </w:rPr>
              <w:t>▲1、招标（采购）代理费收费标准参照《招标代理服务收费管理暂行办法》（计价格[2002]1980号）规定标准按投标折扣（折后价/原价）报价，上下浮动范围不超过</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0%</w:t>
            </w:r>
          </w:p>
        </w:tc>
        <w:tc>
          <w:tcPr>
            <w:tcW w:w="1108" w:type="dxa"/>
            <w:vAlign w:val="center"/>
          </w:tcPr>
          <w:p w14:paraId="15BDBCFD">
            <w:pPr>
              <w:adjustRightInd w:val="0"/>
              <w:snapToGrid w:val="0"/>
              <w:jc w:val="center"/>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仿宋"/>
                <w:color w:val="auto"/>
                <w:spacing w:val="-6"/>
                <w:sz w:val="24"/>
                <w:szCs w:val="24"/>
                <w:highlight w:val="none"/>
                <w:lang w:val="en-US" w:eastAsia="zh-CN"/>
              </w:rPr>
              <w:t>15</w:t>
            </w:r>
          </w:p>
        </w:tc>
      </w:tr>
      <w:tr w14:paraId="3E49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99" w:type="dxa"/>
            <w:vMerge w:val="continue"/>
            <w:vAlign w:val="center"/>
          </w:tcPr>
          <w:p w14:paraId="449A694E">
            <w:pPr>
              <w:widowControl/>
              <w:spacing w:line="420" w:lineRule="atLeast"/>
              <w:jc w:val="center"/>
              <w:rPr>
                <w:rFonts w:hint="eastAsia" w:ascii="仿宋" w:hAnsi="仿宋" w:eastAsia="仿宋" w:cs="宋体"/>
                <w:color w:val="auto"/>
                <w:kern w:val="0"/>
                <w:sz w:val="24"/>
                <w:szCs w:val="24"/>
                <w:highlight w:val="none"/>
                <w:vertAlign w:val="baseline"/>
                <w:lang w:val="en-US" w:eastAsia="zh-CN"/>
              </w:rPr>
            </w:pPr>
          </w:p>
        </w:tc>
        <w:tc>
          <w:tcPr>
            <w:tcW w:w="2771" w:type="dxa"/>
            <w:vMerge w:val="continue"/>
            <w:vAlign w:val="center"/>
          </w:tcPr>
          <w:p w14:paraId="0C9BE15B">
            <w:pPr>
              <w:adjustRightInd w:val="0"/>
              <w:snapToGrid w:val="0"/>
              <w:jc w:val="both"/>
              <w:rPr>
                <w:rFonts w:hint="eastAsia" w:ascii="仿宋" w:hAnsi="仿宋" w:eastAsia="仿宋" w:cs="仿宋"/>
                <w:color w:val="auto"/>
                <w:spacing w:val="-6"/>
                <w:sz w:val="24"/>
                <w:szCs w:val="24"/>
                <w:highlight w:val="none"/>
                <w:lang w:val="en-US" w:eastAsia="zh-CN"/>
              </w:rPr>
            </w:pPr>
          </w:p>
        </w:tc>
        <w:tc>
          <w:tcPr>
            <w:tcW w:w="5320" w:type="dxa"/>
            <w:vAlign w:val="center"/>
          </w:tcPr>
          <w:p w14:paraId="20AC7B06">
            <w:pPr>
              <w:adjustRightInd w:val="0"/>
              <w:snapToGrid w:val="0"/>
              <w:jc w:val="both"/>
              <w:rPr>
                <w:rFonts w:hint="eastAsia" w:ascii="仿宋" w:hAnsi="仿宋" w:eastAsia="仿宋" w:cs="仿宋"/>
                <w:color w:val="auto"/>
                <w:spacing w:val="-6"/>
                <w:sz w:val="24"/>
                <w:szCs w:val="24"/>
                <w:highlight w:val="none"/>
              </w:rPr>
            </w:pPr>
            <w:r>
              <w:rPr>
                <w:rFonts w:hint="eastAsia" w:ascii="仿宋" w:hAnsi="仿宋" w:eastAsia="仿宋" w:cs="仿宋"/>
                <w:b/>
                <w:bCs/>
                <w:color w:val="auto"/>
                <w:spacing w:val="-6"/>
                <w:sz w:val="24"/>
                <w:szCs w:val="24"/>
                <w:highlight w:val="none"/>
                <w:lang w:val="en-US" w:eastAsia="zh-CN"/>
              </w:rPr>
              <w:t>造价咨询服务费：</w:t>
            </w:r>
            <w:r>
              <w:rPr>
                <w:rFonts w:hint="eastAsia" w:ascii="仿宋" w:hAnsi="仿宋" w:eastAsia="仿宋" w:cs="仿宋"/>
                <w:color w:val="auto"/>
                <w:spacing w:val="-6"/>
                <w:sz w:val="24"/>
                <w:szCs w:val="24"/>
                <w:highlight w:val="none"/>
              </w:rPr>
              <w:t>价格分采用低价优先法计算，即：满足招标文件要求且报价最低的</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的价格为评审基准价。价格分按照下列公式计算：</w:t>
            </w:r>
          </w:p>
          <w:p w14:paraId="18F3873F">
            <w:pPr>
              <w:adjustRightInd w:val="0"/>
              <w:snapToGrid w:val="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价格分</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=（评标基准价/</w:t>
            </w:r>
            <w:r>
              <w:rPr>
                <w:rFonts w:hint="eastAsia" w:ascii="仿宋" w:hAnsi="仿宋" w:eastAsia="仿宋" w:cs="仿宋"/>
                <w:color w:val="auto"/>
                <w:spacing w:val="-6"/>
                <w:sz w:val="24"/>
                <w:szCs w:val="24"/>
                <w:highlight w:val="none"/>
                <w:lang w:val="en-US" w:eastAsia="zh-CN"/>
              </w:rPr>
              <w:t>投标</w:t>
            </w:r>
            <w:r>
              <w:rPr>
                <w:rFonts w:hint="eastAsia" w:ascii="仿宋" w:hAnsi="仿宋" w:eastAsia="仿宋" w:cs="仿宋"/>
                <w:color w:val="auto"/>
                <w:spacing w:val="-6"/>
                <w:sz w:val="24"/>
                <w:szCs w:val="24"/>
                <w:highlight w:val="none"/>
              </w:rPr>
              <w:t>报价）×</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%×100</w:t>
            </w:r>
          </w:p>
          <w:p w14:paraId="3530FFDD">
            <w:pPr>
              <w:adjustRightInd w:val="0"/>
              <w:snapToGrid w:val="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▲1、招标（采购）代理费收费标准参照《招标代理服务收费管理暂行办法》（</w:t>
            </w:r>
            <w:r>
              <w:rPr>
                <w:rFonts w:hint="eastAsia" w:ascii="仿宋" w:hAnsi="仿宋" w:eastAsia="仿宋" w:cs="宋体"/>
                <w:bCs/>
                <w:color w:val="auto"/>
                <w:sz w:val="24"/>
                <w:szCs w:val="24"/>
                <w:highlight w:val="none"/>
              </w:rPr>
              <w:t>浙价服〔2009〕84号</w:t>
            </w:r>
            <w:r>
              <w:rPr>
                <w:rFonts w:hint="eastAsia" w:ascii="仿宋" w:hAnsi="仿宋" w:eastAsia="仿宋" w:cs="仿宋"/>
                <w:color w:val="auto"/>
                <w:spacing w:val="-6"/>
                <w:sz w:val="24"/>
                <w:szCs w:val="24"/>
                <w:highlight w:val="none"/>
              </w:rPr>
              <w:t>）规定标准按投标折扣（折后价/原价）报价，上下浮动范围不超过</w:t>
            </w: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0%</w:t>
            </w:r>
          </w:p>
        </w:tc>
        <w:tc>
          <w:tcPr>
            <w:tcW w:w="1108" w:type="dxa"/>
            <w:vAlign w:val="center"/>
          </w:tcPr>
          <w:p w14:paraId="3708D823">
            <w:pPr>
              <w:adjustRightInd w:val="0"/>
              <w:snapToGrid w:val="0"/>
              <w:jc w:val="center"/>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15</w:t>
            </w:r>
          </w:p>
        </w:tc>
      </w:tr>
    </w:tbl>
    <w:p w14:paraId="4AED45FB">
      <w:pPr>
        <w:widowControl/>
        <w:spacing w:line="420" w:lineRule="atLeast"/>
        <w:ind w:firstLine="480"/>
        <w:rPr>
          <w:rFonts w:ascii="仿宋" w:hAnsi="仿宋" w:eastAsia="仿宋" w:cs="宋体"/>
          <w:color w:val="auto"/>
          <w:kern w:val="0"/>
          <w:sz w:val="24"/>
          <w:szCs w:val="24"/>
          <w:highlight w:val="none"/>
        </w:rPr>
      </w:pPr>
    </w:p>
    <w:p w14:paraId="71C66811">
      <w:pPr>
        <w:widowControl/>
        <w:spacing w:line="420" w:lineRule="atLeast"/>
        <w:rPr>
          <w:rFonts w:ascii="仿宋" w:hAnsi="仿宋" w:eastAsia="仿宋" w:cs="宋体"/>
          <w:color w:val="auto"/>
          <w:kern w:val="0"/>
          <w:sz w:val="24"/>
          <w:szCs w:val="24"/>
          <w:highlight w:val="none"/>
        </w:rPr>
      </w:pPr>
    </w:p>
    <w:p w14:paraId="6D5AB396">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3B28373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第七章</w:t>
      </w:r>
      <w:r>
        <w:rPr>
          <w:rFonts w:ascii="宋体" w:hAnsi="宋体"/>
          <w:b/>
          <w:color w:val="auto"/>
          <w:sz w:val="32"/>
          <w:szCs w:val="32"/>
          <w:highlight w:val="none"/>
        </w:rPr>
        <w:t xml:space="preserve">  </w:t>
      </w:r>
      <w:r>
        <w:rPr>
          <w:rFonts w:hint="eastAsia" w:ascii="宋体" w:hAnsi="宋体"/>
          <w:b/>
          <w:color w:val="auto"/>
          <w:sz w:val="32"/>
          <w:szCs w:val="32"/>
          <w:highlight w:val="none"/>
        </w:rPr>
        <w:t>投标相关文件格式</w:t>
      </w:r>
    </w:p>
    <w:p w14:paraId="1C4D0D91">
      <w:pPr>
        <w:widowControl/>
        <w:spacing w:before="260" w:after="260" w:line="270" w:lineRule="atLeast"/>
        <w:jc w:val="left"/>
        <w:outlineLvl w:val="2"/>
        <w:rPr>
          <w:b/>
          <w:bCs/>
          <w:color w:val="auto"/>
          <w:kern w:val="0"/>
          <w:szCs w:val="21"/>
          <w:highlight w:val="none"/>
        </w:rPr>
      </w:pPr>
      <w:r>
        <w:rPr>
          <w:b/>
          <w:bCs/>
          <w:color w:val="auto"/>
          <w:kern w:val="0"/>
          <w:sz w:val="36"/>
          <w:szCs w:val="36"/>
          <w:highlight w:val="none"/>
        </w:rPr>
        <w:t xml:space="preserve">  封面格式</w:t>
      </w:r>
      <w:r>
        <w:rPr>
          <w:rFonts w:hint="eastAsia"/>
          <w:b/>
          <w:bCs/>
          <w:color w:val="auto"/>
          <w:kern w:val="0"/>
          <w:sz w:val="36"/>
          <w:szCs w:val="36"/>
          <w:highlight w:val="none"/>
        </w:rPr>
        <w:t xml:space="preserve">                          正/副本</w:t>
      </w:r>
    </w:p>
    <w:p w14:paraId="3E10BAAC">
      <w:pPr>
        <w:widowControl/>
        <w:tabs>
          <w:tab w:val="left" w:pos="8280"/>
        </w:tabs>
        <w:spacing w:line="360" w:lineRule="auto"/>
        <w:ind w:firstLine="480"/>
        <w:jc w:val="center"/>
        <w:rPr>
          <w:b/>
          <w:color w:val="auto"/>
          <w:kern w:val="0"/>
          <w:sz w:val="32"/>
          <w:szCs w:val="32"/>
          <w:highlight w:val="none"/>
        </w:rPr>
      </w:pPr>
    </w:p>
    <w:p w14:paraId="781A5824">
      <w:pPr>
        <w:widowControl/>
        <w:tabs>
          <w:tab w:val="left" w:pos="450"/>
          <w:tab w:val="left" w:pos="8280"/>
        </w:tabs>
        <w:spacing w:line="360" w:lineRule="auto"/>
        <w:ind w:firstLine="885" w:firstLineChars="245"/>
        <w:jc w:val="left"/>
        <w:rPr>
          <w:b/>
          <w:color w:val="auto"/>
          <w:kern w:val="0"/>
          <w:sz w:val="44"/>
          <w:szCs w:val="44"/>
          <w:highlight w:val="none"/>
        </w:rPr>
      </w:pPr>
      <w:r>
        <w:rPr>
          <w:b/>
          <w:color w:val="auto"/>
          <w:kern w:val="0"/>
          <w:sz w:val="36"/>
          <w:szCs w:val="36"/>
          <w:highlight w:val="none"/>
          <w:u w:val="single"/>
        </w:rPr>
        <w:t xml:space="preserve">                                    </w:t>
      </w:r>
      <w:r>
        <w:rPr>
          <w:b/>
          <w:color w:val="auto"/>
          <w:kern w:val="0"/>
          <w:sz w:val="44"/>
          <w:szCs w:val="44"/>
          <w:highlight w:val="none"/>
        </w:rPr>
        <w:t>项目</w:t>
      </w:r>
    </w:p>
    <w:p w14:paraId="70B1F6D5">
      <w:pPr>
        <w:widowControl/>
        <w:tabs>
          <w:tab w:val="left" w:pos="450"/>
          <w:tab w:val="left" w:pos="8280"/>
        </w:tabs>
        <w:spacing w:line="360" w:lineRule="auto"/>
        <w:ind w:firstLine="480"/>
        <w:jc w:val="center"/>
        <w:rPr>
          <w:b/>
          <w:color w:val="auto"/>
          <w:kern w:val="0"/>
          <w:sz w:val="44"/>
          <w:szCs w:val="44"/>
          <w:highlight w:val="none"/>
        </w:rPr>
      </w:pPr>
    </w:p>
    <w:p w14:paraId="611D1CBD">
      <w:pPr>
        <w:widowControl/>
        <w:tabs>
          <w:tab w:val="left" w:pos="450"/>
          <w:tab w:val="left" w:pos="8280"/>
        </w:tabs>
        <w:spacing w:line="360" w:lineRule="auto"/>
        <w:ind w:firstLine="480"/>
        <w:jc w:val="center"/>
        <w:rPr>
          <w:b/>
          <w:color w:val="auto"/>
          <w:kern w:val="0"/>
          <w:sz w:val="44"/>
          <w:szCs w:val="44"/>
          <w:highlight w:val="none"/>
        </w:rPr>
      </w:pPr>
      <w:r>
        <w:rPr>
          <w:b/>
          <w:color w:val="auto"/>
          <w:kern w:val="0"/>
          <w:sz w:val="44"/>
          <w:szCs w:val="44"/>
          <w:highlight w:val="none"/>
        </w:rPr>
        <w:t>投标文件</w:t>
      </w:r>
    </w:p>
    <w:p w14:paraId="237ADB59">
      <w:pPr>
        <w:widowControl/>
        <w:tabs>
          <w:tab w:val="left" w:pos="450"/>
          <w:tab w:val="left" w:pos="8280"/>
        </w:tabs>
        <w:spacing w:line="360" w:lineRule="auto"/>
        <w:ind w:firstLine="480"/>
        <w:jc w:val="center"/>
        <w:rPr>
          <w:b/>
          <w:color w:val="auto"/>
          <w:kern w:val="0"/>
          <w:sz w:val="44"/>
          <w:szCs w:val="44"/>
          <w:highlight w:val="none"/>
        </w:rPr>
      </w:pPr>
      <w:r>
        <w:rPr>
          <w:rFonts w:hint="eastAsia"/>
          <w:b/>
          <w:color w:val="auto"/>
          <w:kern w:val="0"/>
          <w:sz w:val="44"/>
          <w:szCs w:val="44"/>
          <w:highlight w:val="none"/>
        </w:rPr>
        <w:t>（技术文件/商务文件）</w:t>
      </w:r>
    </w:p>
    <w:p w14:paraId="4B358B6C">
      <w:pPr>
        <w:widowControl/>
        <w:tabs>
          <w:tab w:val="left" w:pos="275"/>
          <w:tab w:val="left" w:pos="8280"/>
        </w:tabs>
        <w:spacing w:line="360" w:lineRule="auto"/>
        <w:ind w:firstLine="480"/>
        <w:jc w:val="left"/>
        <w:rPr>
          <w:rFonts w:hint="default" w:eastAsia="宋体"/>
          <w:b/>
          <w:color w:val="auto"/>
          <w:kern w:val="0"/>
          <w:sz w:val="36"/>
          <w:szCs w:val="36"/>
          <w:highlight w:val="none"/>
          <w:lang w:val="en-US" w:eastAsia="zh-CN"/>
        </w:rPr>
      </w:pPr>
      <w:r>
        <w:rPr>
          <w:rFonts w:hint="eastAsia"/>
          <w:b/>
          <w:color w:val="auto"/>
          <w:kern w:val="0"/>
          <w:sz w:val="36"/>
          <w:szCs w:val="36"/>
          <w:highlight w:val="none"/>
          <w:lang w:val="en-US" w:eastAsia="zh-CN"/>
        </w:rPr>
        <w:t xml:space="preserve">                  工程类</w:t>
      </w:r>
    </w:p>
    <w:p w14:paraId="7382CE85">
      <w:pPr>
        <w:widowControl/>
        <w:tabs>
          <w:tab w:val="left" w:pos="275"/>
          <w:tab w:val="left" w:pos="8280"/>
        </w:tabs>
        <w:spacing w:line="360" w:lineRule="auto"/>
        <w:ind w:firstLine="480"/>
        <w:jc w:val="left"/>
        <w:rPr>
          <w:b/>
          <w:color w:val="auto"/>
          <w:kern w:val="0"/>
          <w:sz w:val="36"/>
          <w:szCs w:val="36"/>
          <w:highlight w:val="none"/>
        </w:rPr>
      </w:pPr>
      <w:r>
        <w:rPr>
          <w:b/>
          <w:color w:val="auto"/>
          <w:kern w:val="0"/>
          <w:sz w:val="36"/>
          <w:szCs w:val="36"/>
          <w:highlight w:val="none"/>
        </w:rPr>
        <w:tab/>
      </w:r>
    </w:p>
    <w:p w14:paraId="2A714251">
      <w:pPr>
        <w:widowControl/>
        <w:tabs>
          <w:tab w:val="left" w:pos="275"/>
          <w:tab w:val="left" w:pos="8280"/>
        </w:tabs>
        <w:spacing w:line="360" w:lineRule="auto"/>
        <w:ind w:firstLine="480"/>
        <w:jc w:val="left"/>
        <w:rPr>
          <w:b/>
          <w:color w:val="auto"/>
          <w:kern w:val="0"/>
          <w:sz w:val="32"/>
          <w:szCs w:val="32"/>
          <w:highlight w:val="none"/>
        </w:rPr>
      </w:pPr>
    </w:p>
    <w:p w14:paraId="34FF2960">
      <w:pPr>
        <w:widowControl/>
        <w:tabs>
          <w:tab w:val="left" w:pos="275"/>
          <w:tab w:val="left" w:pos="8280"/>
        </w:tabs>
        <w:spacing w:line="360" w:lineRule="auto"/>
        <w:ind w:firstLine="480"/>
        <w:jc w:val="left"/>
        <w:rPr>
          <w:b/>
          <w:color w:val="auto"/>
          <w:kern w:val="0"/>
          <w:sz w:val="32"/>
          <w:szCs w:val="32"/>
          <w:highlight w:val="none"/>
        </w:rPr>
      </w:pPr>
    </w:p>
    <w:p w14:paraId="3C637F51">
      <w:pPr>
        <w:widowControl/>
        <w:tabs>
          <w:tab w:val="left" w:pos="275"/>
          <w:tab w:val="left" w:pos="8280"/>
        </w:tabs>
        <w:spacing w:line="360" w:lineRule="auto"/>
        <w:ind w:firstLine="480"/>
        <w:jc w:val="left"/>
        <w:rPr>
          <w:b/>
          <w:color w:val="auto"/>
          <w:kern w:val="0"/>
          <w:sz w:val="32"/>
          <w:szCs w:val="32"/>
          <w:highlight w:val="none"/>
        </w:rPr>
      </w:pPr>
    </w:p>
    <w:p w14:paraId="7434ACC2">
      <w:pPr>
        <w:widowControl/>
        <w:tabs>
          <w:tab w:val="left" w:pos="275"/>
          <w:tab w:val="left" w:pos="8280"/>
        </w:tabs>
        <w:spacing w:line="360" w:lineRule="auto"/>
        <w:ind w:firstLine="315" w:firstLineChars="98"/>
        <w:jc w:val="left"/>
        <w:rPr>
          <w:b/>
          <w:color w:val="auto"/>
          <w:kern w:val="0"/>
          <w:sz w:val="36"/>
          <w:szCs w:val="36"/>
          <w:highlight w:val="none"/>
        </w:rPr>
      </w:pPr>
      <w:r>
        <w:rPr>
          <w:b/>
          <w:color w:val="auto"/>
          <w:kern w:val="0"/>
          <w:sz w:val="32"/>
          <w:szCs w:val="32"/>
          <w:highlight w:val="none"/>
        </w:rPr>
        <w:t>采购项目编号：</w:t>
      </w:r>
      <w:r>
        <w:rPr>
          <w:b/>
          <w:color w:val="auto"/>
          <w:kern w:val="0"/>
          <w:sz w:val="36"/>
          <w:szCs w:val="36"/>
          <w:highlight w:val="none"/>
          <w:u w:val="single"/>
        </w:rPr>
        <w:t xml:space="preserve">                                 </w:t>
      </w:r>
    </w:p>
    <w:p w14:paraId="63AF3022">
      <w:pPr>
        <w:widowControl/>
        <w:tabs>
          <w:tab w:val="left" w:pos="765"/>
          <w:tab w:val="left" w:pos="8280"/>
        </w:tabs>
        <w:spacing w:line="360" w:lineRule="auto"/>
        <w:ind w:firstLine="480"/>
        <w:jc w:val="left"/>
        <w:rPr>
          <w:b/>
          <w:color w:val="auto"/>
          <w:kern w:val="0"/>
          <w:sz w:val="36"/>
          <w:szCs w:val="36"/>
          <w:highlight w:val="none"/>
        </w:rPr>
      </w:pPr>
      <w:r>
        <w:rPr>
          <w:b/>
          <w:color w:val="auto"/>
          <w:kern w:val="0"/>
          <w:sz w:val="36"/>
          <w:szCs w:val="36"/>
          <w:highlight w:val="none"/>
        </w:rPr>
        <w:tab/>
      </w:r>
    </w:p>
    <w:p w14:paraId="273D7D79">
      <w:pPr>
        <w:widowControl/>
        <w:tabs>
          <w:tab w:val="left" w:pos="765"/>
          <w:tab w:val="left" w:pos="8280"/>
        </w:tabs>
        <w:spacing w:line="360" w:lineRule="auto"/>
        <w:ind w:firstLine="315" w:firstLineChars="98"/>
        <w:jc w:val="left"/>
        <w:rPr>
          <w:b/>
          <w:color w:val="auto"/>
          <w:kern w:val="0"/>
          <w:sz w:val="36"/>
          <w:szCs w:val="36"/>
          <w:highlight w:val="none"/>
        </w:rPr>
      </w:pPr>
      <w:r>
        <w:rPr>
          <w:b/>
          <w:color w:val="auto"/>
          <w:kern w:val="0"/>
          <w:sz w:val="32"/>
          <w:szCs w:val="32"/>
          <w:highlight w:val="none"/>
        </w:rPr>
        <w:t>投标人（公章）：</w:t>
      </w:r>
      <w:r>
        <w:rPr>
          <w:b/>
          <w:color w:val="auto"/>
          <w:kern w:val="0"/>
          <w:sz w:val="36"/>
          <w:szCs w:val="36"/>
          <w:highlight w:val="none"/>
          <w:u w:val="single"/>
        </w:rPr>
        <w:t xml:space="preserve">                                </w:t>
      </w:r>
    </w:p>
    <w:p w14:paraId="48A8EDCF">
      <w:pPr>
        <w:widowControl/>
        <w:tabs>
          <w:tab w:val="left" w:pos="8280"/>
        </w:tabs>
        <w:spacing w:line="360" w:lineRule="auto"/>
        <w:ind w:firstLine="480"/>
        <w:jc w:val="center"/>
        <w:rPr>
          <w:b/>
          <w:color w:val="auto"/>
          <w:kern w:val="0"/>
          <w:sz w:val="32"/>
          <w:szCs w:val="32"/>
          <w:highlight w:val="none"/>
        </w:rPr>
      </w:pPr>
    </w:p>
    <w:p w14:paraId="44F54B75">
      <w:pPr>
        <w:widowControl/>
        <w:tabs>
          <w:tab w:val="left" w:pos="350"/>
          <w:tab w:val="left" w:pos="8280"/>
        </w:tabs>
        <w:spacing w:line="360" w:lineRule="auto"/>
        <w:ind w:firstLine="315" w:firstLineChars="98"/>
        <w:jc w:val="left"/>
        <w:rPr>
          <w:b/>
          <w:color w:val="auto"/>
          <w:kern w:val="0"/>
          <w:sz w:val="32"/>
          <w:szCs w:val="32"/>
          <w:highlight w:val="none"/>
        </w:rPr>
      </w:pPr>
      <w:r>
        <w:rPr>
          <w:b/>
          <w:color w:val="auto"/>
          <w:kern w:val="0"/>
          <w:sz w:val="32"/>
          <w:szCs w:val="32"/>
          <w:highlight w:val="none"/>
        </w:rPr>
        <w:t>投标人法定代表人</w:t>
      </w:r>
    </w:p>
    <w:p w14:paraId="01D04BB0">
      <w:pPr>
        <w:widowControl/>
        <w:tabs>
          <w:tab w:val="left" w:pos="840"/>
          <w:tab w:val="left" w:pos="8280"/>
        </w:tabs>
        <w:spacing w:line="360" w:lineRule="auto"/>
        <w:ind w:firstLine="315" w:firstLineChars="98"/>
        <w:jc w:val="left"/>
        <w:rPr>
          <w:b/>
          <w:color w:val="auto"/>
          <w:kern w:val="0"/>
          <w:sz w:val="36"/>
          <w:szCs w:val="36"/>
          <w:highlight w:val="none"/>
        </w:rPr>
      </w:pPr>
      <w:r>
        <w:rPr>
          <w:b/>
          <w:color w:val="auto"/>
          <w:kern w:val="0"/>
          <w:sz w:val="32"/>
          <w:szCs w:val="32"/>
          <w:highlight w:val="none"/>
        </w:rPr>
        <w:t>或其委托人（签字）：</w:t>
      </w:r>
      <w:r>
        <w:rPr>
          <w:b/>
          <w:color w:val="auto"/>
          <w:kern w:val="0"/>
          <w:sz w:val="36"/>
          <w:szCs w:val="36"/>
          <w:highlight w:val="none"/>
          <w:u w:val="single"/>
        </w:rPr>
        <w:t xml:space="preserve">                            </w:t>
      </w:r>
    </w:p>
    <w:p w14:paraId="09C81B58">
      <w:pPr>
        <w:widowControl/>
        <w:tabs>
          <w:tab w:val="left" w:pos="8280"/>
        </w:tabs>
        <w:spacing w:line="360" w:lineRule="auto"/>
        <w:rPr>
          <w:b/>
          <w:color w:val="auto"/>
          <w:kern w:val="0"/>
          <w:sz w:val="32"/>
          <w:szCs w:val="32"/>
          <w:highlight w:val="none"/>
        </w:rPr>
      </w:pPr>
    </w:p>
    <w:p w14:paraId="5D7A6BD0">
      <w:pPr>
        <w:widowControl/>
        <w:tabs>
          <w:tab w:val="left" w:pos="350"/>
          <w:tab w:val="left" w:pos="8280"/>
        </w:tabs>
        <w:spacing w:line="360" w:lineRule="auto"/>
        <w:ind w:firstLine="480"/>
        <w:jc w:val="left"/>
        <w:rPr>
          <w:b/>
          <w:color w:val="auto"/>
          <w:kern w:val="0"/>
          <w:sz w:val="32"/>
          <w:szCs w:val="32"/>
          <w:highlight w:val="none"/>
        </w:rPr>
      </w:pPr>
      <w:r>
        <w:rPr>
          <w:b/>
          <w:color w:val="auto"/>
          <w:kern w:val="0"/>
          <w:sz w:val="36"/>
          <w:szCs w:val="36"/>
          <w:highlight w:val="none"/>
        </w:rPr>
        <w:t xml:space="preserve">                   </w:t>
      </w:r>
      <w:r>
        <w:rPr>
          <w:b/>
          <w:color w:val="auto"/>
          <w:kern w:val="0"/>
          <w:sz w:val="32"/>
          <w:szCs w:val="32"/>
          <w:highlight w:val="none"/>
        </w:rPr>
        <w:t>年</w:t>
      </w:r>
      <w:r>
        <w:rPr>
          <w:b/>
          <w:color w:val="auto"/>
          <w:kern w:val="0"/>
          <w:sz w:val="36"/>
          <w:szCs w:val="36"/>
          <w:highlight w:val="none"/>
        </w:rPr>
        <w:t xml:space="preserve">     </w:t>
      </w:r>
      <w:r>
        <w:rPr>
          <w:b/>
          <w:color w:val="auto"/>
          <w:kern w:val="0"/>
          <w:sz w:val="32"/>
          <w:szCs w:val="32"/>
          <w:highlight w:val="none"/>
        </w:rPr>
        <w:t>月</w:t>
      </w:r>
      <w:r>
        <w:rPr>
          <w:b/>
          <w:color w:val="auto"/>
          <w:kern w:val="0"/>
          <w:sz w:val="36"/>
          <w:szCs w:val="36"/>
          <w:highlight w:val="none"/>
        </w:rPr>
        <w:t xml:space="preserve">     </w:t>
      </w:r>
      <w:r>
        <w:rPr>
          <w:b/>
          <w:color w:val="auto"/>
          <w:kern w:val="0"/>
          <w:sz w:val="32"/>
          <w:szCs w:val="32"/>
          <w:highlight w:val="none"/>
        </w:rPr>
        <w:t>日</w:t>
      </w:r>
    </w:p>
    <w:p w14:paraId="2F2E0546">
      <w:pPr>
        <w:rPr>
          <w:rFonts w:hint="eastAsia" w:ascii="仿宋" w:hAnsi="仿宋" w:eastAsia="仿宋" w:cs="宋体"/>
          <w:color w:val="auto"/>
          <w:kern w:val="0"/>
          <w:sz w:val="28"/>
          <w:szCs w:val="28"/>
          <w:highlight w:val="none"/>
        </w:rPr>
      </w:pPr>
    </w:p>
    <w:p w14:paraId="06B7C410">
      <w:pPr>
        <w:rPr>
          <w:rFonts w:ascii="仿宋" w:hAnsi="仿宋" w:eastAsia="仿宋"/>
          <w:color w:val="auto"/>
          <w:highlight w:val="none"/>
        </w:rPr>
      </w:pPr>
      <w:r>
        <w:rPr>
          <w:rFonts w:hint="eastAsia" w:ascii="仿宋" w:hAnsi="仿宋" w:eastAsia="仿宋" w:cs="宋体"/>
          <w:color w:val="auto"/>
          <w:kern w:val="0"/>
          <w:sz w:val="28"/>
          <w:szCs w:val="28"/>
          <w:highlight w:val="none"/>
        </w:rPr>
        <w:t>附件一</w:t>
      </w:r>
      <w:r>
        <w:rPr>
          <w:rFonts w:hint="eastAsia" w:ascii="仿宋" w:hAnsi="仿宋" w:eastAsia="仿宋"/>
          <w:color w:val="auto"/>
          <w:highlight w:val="none"/>
        </w:rPr>
        <w:t xml:space="preserve">                      </w:t>
      </w:r>
    </w:p>
    <w:p w14:paraId="7F5E55E2">
      <w:pPr>
        <w:jc w:val="center"/>
        <w:rPr>
          <w:rFonts w:ascii="仿宋" w:hAnsi="仿宋" w:eastAsia="仿宋" w:cs="宋体"/>
          <w:b/>
          <w:bCs/>
          <w:color w:val="auto"/>
          <w:kern w:val="0"/>
          <w:sz w:val="28"/>
          <w:szCs w:val="28"/>
          <w:highlight w:val="none"/>
          <w:lang w:val="zh-CN"/>
        </w:rPr>
      </w:pPr>
      <w:r>
        <w:rPr>
          <w:rFonts w:hint="eastAsia" w:ascii="仿宋" w:hAnsi="仿宋" w:eastAsia="仿宋" w:cs="宋体"/>
          <w:b/>
          <w:bCs/>
          <w:color w:val="auto"/>
          <w:kern w:val="0"/>
          <w:sz w:val="28"/>
          <w:szCs w:val="28"/>
          <w:highlight w:val="none"/>
        </w:rPr>
        <w:t>投标人基本情况表</w:t>
      </w:r>
    </w:p>
    <w:tbl>
      <w:tblPr>
        <w:tblStyle w:val="11"/>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5D5B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759C515B">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1、一般情况</w:t>
            </w:r>
          </w:p>
        </w:tc>
      </w:tr>
      <w:tr w14:paraId="1116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30BA495B">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66DD81DF">
            <w:pPr>
              <w:spacing w:line="400" w:lineRule="exact"/>
              <w:ind w:firstLine="480" w:firstLineChars="200"/>
              <w:rPr>
                <w:rFonts w:ascii="仿宋" w:hAnsi="仿宋" w:eastAsia="仿宋" w:cs="宋体"/>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F896B87">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469779F0">
            <w:pPr>
              <w:spacing w:line="400" w:lineRule="exact"/>
              <w:ind w:firstLine="480" w:firstLineChars="200"/>
              <w:rPr>
                <w:rFonts w:ascii="仿宋" w:hAnsi="仿宋" w:eastAsia="仿宋" w:cs="宋体"/>
                <w:color w:val="auto"/>
                <w:kern w:val="0"/>
                <w:sz w:val="24"/>
                <w:szCs w:val="24"/>
                <w:highlight w:val="none"/>
                <w:lang w:val="zh-CN"/>
              </w:rPr>
            </w:pPr>
          </w:p>
        </w:tc>
      </w:tr>
      <w:tr w14:paraId="3B44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63A40291">
            <w:pPr>
              <w:spacing w:line="400" w:lineRule="exact"/>
              <w:ind w:firstLine="480" w:firstLineChars="200"/>
              <w:rPr>
                <w:rFonts w:ascii="仿宋" w:hAnsi="仿宋" w:eastAsia="仿宋" w:cs="宋体"/>
                <w:color w:val="auto"/>
                <w:kern w:val="0"/>
                <w:sz w:val="24"/>
                <w:szCs w:val="24"/>
                <w:highlight w:val="none"/>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6CA6CEE4">
            <w:pPr>
              <w:spacing w:line="400" w:lineRule="exact"/>
              <w:ind w:firstLine="480" w:firstLineChars="200"/>
              <w:rPr>
                <w:rFonts w:ascii="仿宋" w:hAnsi="仿宋" w:eastAsia="仿宋" w:cs="宋体"/>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5E9FDD9">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4D12FF67">
            <w:pPr>
              <w:spacing w:line="400" w:lineRule="exact"/>
              <w:ind w:firstLine="480" w:firstLineChars="200"/>
              <w:rPr>
                <w:rFonts w:ascii="仿宋" w:hAnsi="仿宋" w:eastAsia="仿宋" w:cs="宋体"/>
                <w:color w:val="auto"/>
                <w:kern w:val="0"/>
                <w:sz w:val="24"/>
                <w:szCs w:val="24"/>
                <w:highlight w:val="none"/>
                <w:lang w:val="zh-CN"/>
              </w:rPr>
            </w:pPr>
          </w:p>
        </w:tc>
      </w:tr>
      <w:tr w14:paraId="6D0C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2286472">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5910A53B">
            <w:pPr>
              <w:spacing w:line="400" w:lineRule="exact"/>
              <w:ind w:firstLine="480" w:firstLineChars="200"/>
              <w:rPr>
                <w:rFonts w:ascii="仿宋" w:hAnsi="仿宋" w:eastAsia="仿宋" w:cs="宋体"/>
                <w:color w:val="auto"/>
                <w:kern w:val="0"/>
                <w:sz w:val="24"/>
                <w:szCs w:val="24"/>
                <w:highlight w:val="none"/>
                <w:lang w:val="zh-CN"/>
              </w:rPr>
            </w:pPr>
          </w:p>
        </w:tc>
      </w:tr>
      <w:tr w14:paraId="2C2A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9F0F267">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D19889A">
            <w:pPr>
              <w:spacing w:line="400" w:lineRule="exact"/>
              <w:ind w:firstLine="480" w:firstLineChars="200"/>
              <w:rPr>
                <w:rFonts w:ascii="仿宋" w:hAnsi="仿宋" w:eastAsia="仿宋" w:cs="宋体"/>
                <w:color w:val="auto"/>
                <w:kern w:val="0"/>
                <w:sz w:val="24"/>
                <w:szCs w:val="24"/>
                <w:highlight w:val="none"/>
                <w:lang w:val="zh-CN"/>
              </w:rPr>
            </w:pPr>
          </w:p>
        </w:tc>
      </w:tr>
      <w:tr w14:paraId="0B6A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0DD149E4">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42DBE246">
            <w:pPr>
              <w:spacing w:line="400" w:lineRule="exact"/>
              <w:ind w:firstLine="480" w:firstLineChars="200"/>
              <w:rPr>
                <w:rFonts w:ascii="仿宋" w:hAnsi="仿宋" w:eastAsia="仿宋" w:cs="宋体"/>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0AAA5BF">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20E90CCD">
            <w:pPr>
              <w:spacing w:line="400" w:lineRule="exact"/>
              <w:ind w:firstLine="480" w:firstLineChars="200"/>
              <w:rPr>
                <w:rFonts w:ascii="仿宋" w:hAnsi="仿宋" w:eastAsia="仿宋" w:cs="宋体"/>
                <w:color w:val="auto"/>
                <w:kern w:val="0"/>
                <w:sz w:val="24"/>
                <w:szCs w:val="24"/>
                <w:highlight w:val="none"/>
                <w:lang w:val="zh-CN"/>
              </w:rPr>
            </w:pPr>
          </w:p>
        </w:tc>
      </w:tr>
      <w:tr w14:paraId="2AD9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56F45D2E">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34E31703">
            <w:pPr>
              <w:spacing w:line="400" w:lineRule="exact"/>
              <w:ind w:firstLine="480" w:firstLineChars="200"/>
              <w:rPr>
                <w:rFonts w:ascii="仿宋" w:hAnsi="仿宋" w:eastAsia="仿宋" w:cs="宋体"/>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18CC3C4">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1879D29C">
            <w:pPr>
              <w:spacing w:line="400" w:lineRule="exact"/>
              <w:ind w:firstLine="480" w:firstLineChars="200"/>
              <w:rPr>
                <w:rFonts w:ascii="仿宋" w:hAnsi="仿宋" w:eastAsia="仿宋" w:cs="宋体"/>
                <w:color w:val="auto"/>
                <w:kern w:val="0"/>
                <w:sz w:val="24"/>
                <w:szCs w:val="24"/>
                <w:highlight w:val="none"/>
                <w:lang w:val="zh-CN"/>
              </w:rPr>
            </w:pPr>
          </w:p>
        </w:tc>
      </w:tr>
      <w:tr w14:paraId="38D1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DD42D81">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单位法人代表</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7EE71EBD">
            <w:pPr>
              <w:spacing w:line="400" w:lineRule="exact"/>
              <w:ind w:firstLine="480" w:firstLineChars="200"/>
              <w:rPr>
                <w:rFonts w:ascii="仿宋" w:hAnsi="仿宋" w:eastAsia="仿宋" w:cs="宋体"/>
                <w:color w:val="auto"/>
                <w:kern w:val="0"/>
                <w:sz w:val="24"/>
                <w:szCs w:val="24"/>
                <w:highlight w:val="none"/>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C692A59">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59592E3F">
            <w:pPr>
              <w:spacing w:line="400" w:lineRule="exact"/>
              <w:ind w:firstLine="480" w:firstLineChars="200"/>
              <w:rPr>
                <w:rFonts w:ascii="仿宋" w:hAnsi="仿宋" w:eastAsia="仿宋" w:cs="宋体"/>
                <w:color w:val="auto"/>
                <w:kern w:val="0"/>
                <w:sz w:val="24"/>
                <w:szCs w:val="24"/>
                <w:highlight w:val="none"/>
                <w:lang w:val="zh-CN"/>
              </w:rPr>
            </w:pPr>
          </w:p>
        </w:tc>
      </w:tr>
      <w:tr w14:paraId="5700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3489A964">
            <w:pPr>
              <w:spacing w:line="400" w:lineRule="exact"/>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2、联系人</w:t>
            </w:r>
          </w:p>
        </w:tc>
      </w:tr>
      <w:tr w14:paraId="1DF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1F1E76F2">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09737057">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293F9D2">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3485124B">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电话</w:t>
            </w:r>
          </w:p>
        </w:tc>
      </w:tr>
      <w:tr w14:paraId="4A86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63CB52F">
            <w:pPr>
              <w:spacing w:line="400" w:lineRule="exact"/>
              <w:ind w:firstLine="480" w:firstLineChars="200"/>
              <w:rPr>
                <w:rFonts w:ascii="仿宋" w:hAnsi="仿宋" w:eastAsia="仿宋" w:cs="宋体"/>
                <w:color w:val="auto"/>
                <w:kern w:val="0"/>
                <w:sz w:val="24"/>
                <w:szCs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3A5140A6">
            <w:pPr>
              <w:spacing w:line="400" w:lineRule="exact"/>
              <w:ind w:firstLine="480" w:firstLineChars="200"/>
              <w:rPr>
                <w:rFonts w:ascii="仿宋" w:hAnsi="仿宋" w:eastAsia="仿宋" w:cs="宋体"/>
                <w:color w:val="auto"/>
                <w:kern w:val="0"/>
                <w:sz w:val="24"/>
                <w:szCs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56878A76">
            <w:pPr>
              <w:spacing w:line="400" w:lineRule="exact"/>
              <w:ind w:firstLine="480" w:firstLineChars="200"/>
              <w:rPr>
                <w:rFonts w:ascii="仿宋" w:hAnsi="仿宋" w:eastAsia="仿宋" w:cs="宋体"/>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CF2B03A">
            <w:pPr>
              <w:spacing w:line="400" w:lineRule="exact"/>
              <w:ind w:firstLine="480" w:firstLineChars="200"/>
              <w:rPr>
                <w:rFonts w:ascii="仿宋" w:hAnsi="仿宋" w:eastAsia="仿宋" w:cs="宋体"/>
                <w:color w:val="auto"/>
                <w:kern w:val="0"/>
                <w:sz w:val="24"/>
                <w:szCs w:val="24"/>
                <w:highlight w:val="none"/>
                <w:lang w:val="zh-CN"/>
              </w:rPr>
            </w:pPr>
          </w:p>
        </w:tc>
      </w:tr>
      <w:tr w14:paraId="5097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35E3BD0">
            <w:pPr>
              <w:spacing w:line="400" w:lineRule="exact"/>
              <w:ind w:firstLine="480" w:firstLineChars="200"/>
              <w:rPr>
                <w:rFonts w:ascii="仿宋" w:hAnsi="仿宋" w:eastAsia="仿宋" w:cs="宋体"/>
                <w:color w:val="auto"/>
                <w:kern w:val="0"/>
                <w:sz w:val="24"/>
                <w:szCs w:val="24"/>
                <w:highlight w:val="none"/>
                <w:lang w:val="zh-CN"/>
              </w:rPr>
            </w:pPr>
          </w:p>
          <w:p w14:paraId="4FC9768A">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我保证本文件的真实性，并授权          代表本公司负责阐述有关技术等方面的情况。</w:t>
            </w:r>
          </w:p>
          <w:p w14:paraId="521264E3">
            <w:pPr>
              <w:spacing w:line="400" w:lineRule="exact"/>
              <w:ind w:firstLine="480" w:firstLineChars="200"/>
              <w:rPr>
                <w:rFonts w:ascii="仿宋" w:hAnsi="仿宋" w:eastAsia="仿宋" w:cs="宋体"/>
                <w:color w:val="auto"/>
                <w:kern w:val="0"/>
                <w:sz w:val="24"/>
                <w:szCs w:val="24"/>
                <w:highlight w:val="none"/>
                <w:lang w:val="zh-CN"/>
              </w:rPr>
            </w:pPr>
          </w:p>
          <w:p w14:paraId="04ADC149">
            <w:pPr>
              <w:spacing w:line="400" w:lineRule="exact"/>
              <w:ind w:firstLine="480" w:firstLineChars="200"/>
              <w:rPr>
                <w:rFonts w:ascii="仿宋" w:hAnsi="仿宋" w:eastAsia="仿宋" w:cs="宋体"/>
                <w:color w:val="auto"/>
                <w:kern w:val="0"/>
                <w:sz w:val="24"/>
                <w:szCs w:val="24"/>
                <w:highlight w:val="none"/>
                <w:lang w:val="zh-CN"/>
              </w:rPr>
            </w:pPr>
          </w:p>
          <w:p w14:paraId="78A60D6B">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授权人签字：                      被授权人签字：</w:t>
            </w:r>
          </w:p>
          <w:p w14:paraId="0E44F591">
            <w:pPr>
              <w:spacing w:line="400" w:lineRule="exact"/>
              <w:ind w:firstLine="480" w:firstLineChars="200"/>
              <w:rPr>
                <w:rFonts w:ascii="仿宋" w:hAnsi="仿宋" w:eastAsia="仿宋" w:cs="宋体"/>
                <w:color w:val="auto"/>
                <w:kern w:val="0"/>
                <w:sz w:val="24"/>
                <w:szCs w:val="24"/>
                <w:highlight w:val="none"/>
                <w:lang w:val="zh-CN"/>
              </w:rPr>
            </w:pPr>
          </w:p>
          <w:p w14:paraId="4E341084">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日期：   年   月   日           日期：   年   月   日</w:t>
            </w:r>
          </w:p>
        </w:tc>
      </w:tr>
    </w:tbl>
    <w:p w14:paraId="0ED6D6F7">
      <w:pPr>
        <w:spacing w:line="400" w:lineRule="exact"/>
        <w:ind w:firstLine="480" w:firstLineChars="200"/>
        <w:rPr>
          <w:rFonts w:ascii="仿宋" w:hAnsi="仿宋" w:eastAsia="仿宋" w:cs="宋体"/>
          <w:color w:val="auto"/>
          <w:kern w:val="0"/>
          <w:sz w:val="24"/>
          <w:szCs w:val="24"/>
          <w:highlight w:val="none"/>
          <w:lang w:val="zh-CN"/>
        </w:rPr>
      </w:pPr>
    </w:p>
    <w:p w14:paraId="23063438">
      <w:pPr>
        <w:rPr>
          <w:rFonts w:ascii="仿宋" w:hAnsi="仿宋" w:eastAsia="仿宋" w:cs="宋体"/>
          <w:color w:val="auto"/>
          <w:kern w:val="0"/>
          <w:sz w:val="28"/>
          <w:szCs w:val="28"/>
          <w:highlight w:val="none"/>
        </w:rPr>
      </w:pPr>
    </w:p>
    <w:p w14:paraId="3F86532B">
      <w:pPr>
        <w:widowControl/>
        <w:spacing w:line="420" w:lineRule="atLeast"/>
        <w:rPr>
          <w:rFonts w:ascii="仿宋" w:hAnsi="仿宋" w:eastAsia="仿宋" w:cs="宋体"/>
          <w:color w:val="auto"/>
          <w:kern w:val="0"/>
          <w:sz w:val="28"/>
          <w:szCs w:val="28"/>
          <w:highlight w:val="none"/>
        </w:rPr>
      </w:pPr>
    </w:p>
    <w:p w14:paraId="2845C8EA">
      <w:pPr>
        <w:widowControl/>
        <w:spacing w:line="420" w:lineRule="atLeast"/>
        <w:rPr>
          <w:rFonts w:ascii="仿宋" w:hAnsi="仿宋" w:eastAsia="仿宋" w:cs="宋体"/>
          <w:color w:val="auto"/>
          <w:kern w:val="0"/>
          <w:sz w:val="24"/>
          <w:szCs w:val="24"/>
          <w:highlight w:val="none"/>
        </w:rPr>
      </w:pPr>
    </w:p>
    <w:p w14:paraId="130F0428">
      <w:pPr>
        <w:rPr>
          <w:rFonts w:ascii="仿宋" w:hAnsi="仿宋" w:eastAsia="仿宋" w:cs="宋体"/>
          <w:b/>
          <w:bCs/>
          <w:color w:val="auto"/>
          <w:kern w:val="0"/>
          <w:sz w:val="28"/>
          <w:szCs w:val="28"/>
          <w:highlight w:val="none"/>
        </w:rPr>
      </w:pPr>
      <w:r>
        <w:rPr>
          <w:rFonts w:hint="eastAsia" w:ascii="仿宋" w:hAnsi="仿宋" w:eastAsia="仿宋" w:cs="宋体"/>
          <w:color w:val="auto"/>
          <w:kern w:val="0"/>
          <w:sz w:val="28"/>
          <w:szCs w:val="28"/>
          <w:highlight w:val="none"/>
        </w:rPr>
        <w:t>附件二</w:t>
      </w:r>
      <w:r>
        <w:rPr>
          <w:rFonts w:hint="eastAsia" w:ascii="仿宋" w:hAnsi="仿宋" w:eastAsia="仿宋" w:cs="宋体"/>
          <w:b/>
          <w:bCs/>
          <w:color w:val="auto"/>
          <w:kern w:val="0"/>
          <w:sz w:val="28"/>
          <w:szCs w:val="28"/>
          <w:highlight w:val="none"/>
        </w:rPr>
        <w:t xml:space="preserve">       投标人法定代表人授权书（格式）</w:t>
      </w:r>
    </w:p>
    <w:p w14:paraId="02838DA2">
      <w:pPr>
        <w:spacing w:line="480" w:lineRule="auto"/>
        <w:rPr>
          <w:rFonts w:ascii="仿宋" w:hAnsi="仿宋" w:eastAsia="仿宋"/>
          <w:b/>
          <w:color w:val="auto"/>
          <w:sz w:val="48"/>
          <w:highlight w:val="none"/>
        </w:rPr>
      </w:pPr>
    </w:p>
    <w:p w14:paraId="77FC3405">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项目名称：               </w:t>
      </w:r>
    </w:p>
    <w:p w14:paraId="226CCCAC">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日    期：               </w:t>
      </w:r>
    </w:p>
    <w:p w14:paraId="15F3A1E6">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致：（采购人名称）                </w:t>
      </w:r>
    </w:p>
    <w:p w14:paraId="586208E4">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    （招标代理机构名称）             </w:t>
      </w:r>
    </w:p>
    <w:p w14:paraId="34CBA1CA">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注册于                                 （注册地址）的                                         </w:t>
      </w:r>
    </w:p>
    <w:p w14:paraId="2DE473DE">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14:paraId="634E63BF">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我公司对被授权人的签名负全部责任。</w:t>
      </w:r>
    </w:p>
    <w:p w14:paraId="3585B97E">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08BCBF8E">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被授权人身份证复印件：</w:t>
      </w:r>
    </w:p>
    <w:p w14:paraId="0E0C20A5">
      <w:pPr>
        <w:spacing w:line="400" w:lineRule="exact"/>
        <w:ind w:firstLine="480" w:firstLineChars="200"/>
        <w:rPr>
          <w:rFonts w:ascii="仿宋" w:hAnsi="仿宋" w:eastAsia="仿宋" w:cs="宋体"/>
          <w:color w:val="auto"/>
          <w:kern w:val="0"/>
          <w:sz w:val="24"/>
          <w:szCs w:val="24"/>
          <w:highlight w:val="none"/>
          <w:lang w:val="zh-CN"/>
        </w:rPr>
      </w:pPr>
    </w:p>
    <w:p w14:paraId="08CC62FB">
      <w:pPr>
        <w:spacing w:line="400" w:lineRule="exact"/>
        <w:ind w:firstLine="480" w:firstLineChars="200"/>
        <w:rPr>
          <w:rFonts w:ascii="仿宋" w:hAnsi="仿宋" w:eastAsia="仿宋" w:cs="宋体"/>
          <w:color w:val="auto"/>
          <w:kern w:val="0"/>
          <w:sz w:val="24"/>
          <w:szCs w:val="24"/>
          <w:highlight w:val="none"/>
          <w:lang w:val="zh-CN"/>
        </w:rPr>
      </w:pPr>
    </w:p>
    <w:p w14:paraId="2F914363">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投标人公章：</w:t>
      </w:r>
    </w:p>
    <w:p w14:paraId="69FE8507">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授权人签名：                       职        务：                </w:t>
      </w:r>
    </w:p>
    <w:p w14:paraId="6D8EAB1D">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 xml:space="preserve">被授权人签名：                     </w:t>
      </w:r>
    </w:p>
    <w:p w14:paraId="12041665">
      <w:pPr>
        <w:spacing w:line="400" w:lineRule="exact"/>
        <w:ind w:firstLine="480" w:firstLineChars="200"/>
        <w:rPr>
          <w:rFonts w:ascii="仿宋" w:hAnsi="仿宋" w:eastAsia="仿宋" w:cs="宋体"/>
          <w:color w:val="auto"/>
          <w:kern w:val="0"/>
          <w:sz w:val="24"/>
          <w:szCs w:val="24"/>
          <w:highlight w:val="none"/>
          <w:lang w:val="zh-CN"/>
        </w:rPr>
      </w:pPr>
    </w:p>
    <w:p w14:paraId="503EDAB5">
      <w:pPr>
        <w:spacing w:line="400" w:lineRule="exact"/>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注：投标人法定代表人参加投标的，提供法定代表人证明书和身份证明即可。</w:t>
      </w:r>
    </w:p>
    <w:p w14:paraId="359A6AE2">
      <w:pPr>
        <w:spacing w:line="400" w:lineRule="exact"/>
        <w:rPr>
          <w:rFonts w:ascii="仿宋" w:hAnsi="仿宋" w:eastAsia="仿宋" w:cs="宋体"/>
          <w:color w:val="auto"/>
          <w:kern w:val="0"/>
          <w:sz w:val="24"/>
          <w:szCs w:val="24"/>
          <w:highlight w:val="none"/>
        </w:rPr>
      </w:pPr>
    </w:p>
    <w:p w14:paraId="5D89FF79">
      <w:pPr>
        <w:widowControl/>
        <w:jc w:val="left"/>
        <w:rPr>
          <w:color w:val="auto"/>
          <w:highlight w:val="none"/>
        </w:rPr>
      </w:pPr>
    </w:p>
    <w:p w14:paraId="43207B84">
      <w:pPr>
        <w:widowControl/>
        <w:jc w:val="left"/>
        <w:rPr>
          <w:color w:val="auto"/>
          <w:highlight w:val="none"/>
        </w:rPr>
      </w:pPr>
    </w:p>
    <w:p w14:paraId="4CC33EF1">
      <w:pPr>
        <w:widowControl/>
        <w:jc w:val="left"/>
        <w:rPr>
          <w:color w:val="auto"/>
          <w:highlight w:val="none"/>
        </w:rPr>
      </w:pPr>
    </w:p>
    <w:p w14:paraId="00680F50">
      <w:pPr>
        <w:widowControl/>
        <w:jc w:val="left"/>
        <w:rPr>
          <w:color w:val="auto"/>
          <w:highlight w:val="none"/>
        </w:rPr>
      </w:pPr>
    </w:p>
    <w:p w14:paraId="28C16402">
      <w:pPr>
        <w:widowControl/>
        <w:jc w:val="left"/>
        <w:rPr>
          <w:color w:val="auto"/>
          <w:highlight w:val="none"/>
        </w:rPr>
      </w:pPr>
    </w:p>
    <w:p w14:paraId="375CDC01">
      <w:pPr>
        <w:rPr>
          <w:rFonts w:ascii="仿宋" w:hAnsi="仿宋" w:eastAsia="仿宋"/>
          <w:color w:val="auto"/>
          <w:sz w:val="24"/>
          <w:szCs w:val="24"/>
          <w:highlight w:val="none"/>
        </w:rPr>
      </w:pPr>
      <w:r>
        <w:rPr>
          <w:rFonts w:hint="eastAsia" w:ascii="仿宋" w:hAnsi="仿宋" w:eastAsia="仿宋" w:cs="宋体"/>
          <w:color w:val="auto"/>
          <w:kern w:val="0"/>
          <w:sz w:val="28"/>
          <w:szCs w:val="28"/>
          <w:highlight w:val="none"/>
        </w:rPr>
        <w:br w:type="page"/>
      </w:r>
    </w:p>
    <w:p w14:paraId="5521CF36">
      <w:pPr>
        <w:pStyle w:val="14"/>
        <w:rPr>
          <w:rFonts w:hint="eastAsia" w:ascii="仿宋" w:hAnsi="仿宋" w:eastAsia="仿宋" w:cs="宋体"/>
          <w:b/>
          <w:color w:val="auto"/>
          <w:sz w:val="24"/>
          <w:szCs w:val="24"/>
          <w:highlight w:val="none"/>
        </w:rPr>
      </w:pPr>
    </w:p>
    <w:p w14:paraId="4752D68A">
      <w:pPr>
        <w:widowControl/>
        <w:spacing w:line="420" w:lineRule="atLeast"/>
        <w:rPr>
          <w:color w:val="auto"/>
          <w:highlight w:val="none"/>
        </w:rPr>
      </w:pPr>
      <w:r>
        <w:rPr>
          <w:rFonts w:hint="eastAsia" w:ascii="仿宋" w:hAnsi="仿宋" w:eastAsia="仿宋" w:cs="宋体"/>
          <w:color w:val="auto"/>
          <w:kern w:val="0"/>
          <w:sz w:val="28"/>
          <w:szCs w:val="28"/>
          <w:highlight w:val="none"/>
          <w:lang w:eastAsia="zh-CN"/>
        </w:rPr>
        <w:t>附件</w:t>
      </w:r>
      <w:r>
        <w:rPr>
          <w:rFonts w:hint="eastAsia" w:ascii="仿宋" w:hAnsi="仿宋" w:eastAsia="仿宋" w:cs="宋体"/>
          <w:color w:val="auto"/>
          <w:kern w:val="0"/>
          <w:sz w:val="28"/>
          <w:szCs w:val="28"/>
          <w:highlight w:val="none"/>
          <w:lang w:val="en-US" w:eastAsia="zh-CN"/>
        </w:rPr>
        <w:t>三</w:t>
      </w:r>
      <w:r>
        <w:rPr>
          <w:rFonts w:hint="eastAsia" w:ascii="仿宋" w:hAnsi="仿宋" w:eastAsia="仿宋" w:cs="宋体"/>
          <w:color w:val="auto"/>
          <w:kern w:val="0"/>
          <w:sz w:val="28"/>
          <w:szCs w:val="28"/>
          <w:highlight w:val="none"/>
          <w:lang w:eastAsia="zh-CN"/>
        </w:rPr>
        <w:t>：报价一览表</w:t>
      </w:r>
    </w:p>
    <w:p w14:paraId="23C22980">
      <w:pPr>
        <w:widowControl/>
        <w:jc w:val="left"/>
        <w:rPr>
          <w:color w:val="auto"/>
          <w:highlight w:val="none"/>
        </w:rPr>
      </w:pPr>
    </w:p>
    <w:p w14:paraId="34D1B7C4">
      <w:pPr>
        <w:ind w:left="1067" w:hanging="1067" w:hangingChars="443"/>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rPr>
        <w:t>项目名称：</w:t>
      </w:r>
      <w:r>
        <w:rPr>
          <w:rFonts w:hint="eastAsia" w:ascii="仿宋" w:hAnsi="仿宋" w:eastAsia="仿宋"/>
          <w:b/>
          <w:color w:val="auto"/>
          <w:sz w:val="24"/>
          <w:szCs w:val="24"/>
          <w:highlight w:val="none"/>
          <w:lang w:eastAsia="zh-CN"/>
        </w:rPr>
        <w:t>义乌市中心医院</w:t>
      </w:r>
      <w:r>
        <w:rPr>
          <w:rFonts w:hint="eastAsia" w:ascii="仿宋" w:hAnsi="仿宋" w:eastAsia="仿宋"/>
          <w:b/>
          <w:color w:val="auto"/>
          <w:sz w:val="24"/>
          <w:szCs w:val="24"/>
          <w:highlight w:val="none"/>
          <w:lang w:val="en-US" w:eastAsia="zh-CN"/>
        </w:rPr>
        <w:t>工程</w:t>
      </w:r>
      <w:r>
        <w:rPr>
          <w:rFonts w:hint="eastAsia" w:ascii="仿宋" w:hAnsi="仿宋" w:eastAsia="仿宋"/>
          <w:b/>
          <w:color w:val="auto"/>
          <w:sz w:val="24"/>
          <w:szCs w:val="24"/>
          <w:highlight w:val="none"/>
          <w:lang w:eastAsia="zh-CN"/>
        </w:rPr>
        <w:t>类项目招标代理服务</w:t>
      </w:r>
    </w:p>
    <w:p w14:paraId="3597D248">
      <w:pPr>
        <w:ind w:left="1067" w:hanging="1067" w:hangingChars="443"/>
        <w:rPr>
          <w:rFonts w:ascii="仿宋" w:hAnsi="仿宋" w:eastAsia="仿宋"/>
          <w:b/>
          <w:color w:val="auto"/>
          <w:sz w:val="24"/>
          <w:szCs w:val="24"/>
          <w:highlight w:val="none"/>
          <w:u w:val="single"/>
        </w:rPr>
      </w:pPr>
      <w:r>
        <w:rPr>
          <w:rFonts w:hint="eastAsia" w:ascii="仿宋" w:hAnsi="仿宋" w:eastAsia="仿宋"/>
          <w:b/>
          <w:color w:val="auto"/>
          <w:sz w:val="24"/>
          <w:szCs w:val="24"/>
          <w:highlight w:val="none"/>
        </w:rPr>
        <w:t>招标编号：</w:t>
      </w:r>
      <w:r>
        <w:rPr>
          <w:rFonts w:hint="eastAsia" w:ascii="仿宋" w:hAnsi="仿宋" w:eastAsia="仿宋"/>
          <w:b/>
          <w:color w:val="auto"/>
          <w:sz w:val="24"/>
          <w:szCs w:val="24"/>
          <w:highlight w:val="none"/>
          <w:u w:val="single"/>
        </w:rPr>
        <w:t xml:space="preserve">               </w:t>
      </w:r>
    </w:p>
    <w:p w14:paraId="0FFDA5AC">
      <w:pPr>
        <w:rPr>
          <w:rFonts w:ascii="仿宋" w:hAnsi="仿宋" w:eastAsia="仿宋"/>
          <w:color w:val="auto"/>
          <w:sz w:val="24"/>
          <w:szCs w:val="24"/>
          <w:highlight w:val="none"/>
        </w:rPr>
      </w:pPr>
    </w:p>
    <w:p w14:paraId="3B29CA35">
      <w:pPr>
        <w:rPr>
          <w:rFonts w:ascii="仿宋" w:hAnsi="仿宋" w:eastAsia="仿宋"/>
          <w:color w:val="auto"/>
          <w:sz w:val="24"/>
          <w:szCs w:val="24"/>
          <w:highlight w:val="none"/>
        </w:rPr>
      </w:pP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14:paraId="2D7C1B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14:paraId="3FE82808">
            <w:pPr>
              <w:jc w:val="center"/>
              <w:rPr>
                <w:rFonts w:ascii="仿宋" w:hAnsi="仿宋" w:eastAsia="仿宋"/>
                <w:b/>
                <w:color w:val="auto"/>
                <w:sz w:val="28"/>
                <w:szCs w:val="28"/>
                <w:highlight w:val="none"/>
              </w:rPr>
            </w:pPr>
            <w:r>
              <w:rPr>
                <w:rFonts w:hint="eastAsia" w:ascii="仿宋" w:hAnsi="仿宋" w:eastAsia="仿宋"/>
                <w:color w:val="auto"/>
                <w:sz w:val="24"/>
                <w:szCs w:val="24"/>
                <w:highlight w:val="none"/>
                <w:lang w:eastAsia="zh-CN"/>
              </w:rPr>
              <w:t>工程类</w:t>
            </w:r>
            <w:r>
              <w:rPr>
                <w:rFonts w:hint="eastAsia" w:ascii="仿宋" w:hAnsi="仿宋" w:eastAsia="仿宋"/>
                <w:color w:val="auto"/>
                <w:sz w:val="24"/>
                <w:szCs w:val="24"/>
                <w:highlight w:val="none"/>
              </w:rPr>
              <w:t>项目招标代理服务基准价</w:t>
            </w:r>
          </w:p>
        </w:tc>
        <w:tc>
          <w:tcPr>
            <w:tcW w:w="2177" w:type="dxa"/>
            <w:vAlign w:val="center"/>
          </w:tcPr>
          <w:p w14:paraId="25C3904B">
            <w:pPr>
              <w:jc w:val="center"/>
              <w:rPr>
                <w:rFonts w:hint="eastAsia" w:ascii="仿宋" w:hAnsi="仿宋" w:eastAsia="仿宋"/>
                <w:color w:val="auto"/>
                <w:sz w:val="24"/>
                <w:szCs w:val="24"/>
                <w:highlight w:val="none"/>
                <w:lang w:eastAsia="zh-CN"/>
              </w:rPr>
            </w:pPr>
            <w:r>
              <w:rPr>
                <w:rFonts w:hint="eastAsia" w:ascii="仿宋" w:hAnsi="仿宋" w:eastAsia="仿宋"/>
                <w:b/>
                <w:color w:val="auto"/>
                <w:sz w:val="24"/>
                <w:highlight w:val="none"/>
                <w:lang w:eastAsia="zh-CN"/>
              </w:rPr>
              <w:t>结算率</w:t>
            </w:r>
          </w:p>
        </w:tc>
      </w:tr>
      <w:tr w14:paraId="31254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14:paraId="67CBDB11">
            <w:pPr>
              <w:rPr>
                <w:rFonts w:ascii="仿宋" w:hAnsi="仿宋" w:eastAsia="仿宋"/>
                <w:color w:val="auto"/>
                <w:sz w:val="24"/>
                <w:szCs w:val="24"/>
                <w:highlight w:val="none"/>
              </w:rPr>
            </w:pPr>
            <w:r>
              <w:rPr>
                <w:rFonts w:hint="eastAsia" w:ascii="仿宋" w:hAnsi="仿宋" w:eastAsia="仿宋" w:cs="宋体"/>
                <w:color w:val="auto"/>
                <w:sz w:val="24"/>
                <w:szCs w:val="24"/>
                <w:highlight w:val="none"/>
              </w:rPr>
              <w:t>招标代理服务费按计价格[2002]1980号文件的收费标准</w:t>
            </w:r>
          </w:p>
        </w:tc>
        <w:tc>
          <w:tcPr>
            <w:tcW w:w="2177" w:type="dxa"/>
            <w:vAlign w:val="center"/>
          </w:tcPr>
          <w:p w14:paraId="5016F308">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lang w:val="en-US" w:eastAsia="zh-CN"/>
              </w:rPr>
              <w:t xml:space="preserve">    %</w:t>
            </w:r>
          </w:p>
        </w:tc>
      </w:tr>
    </w:tbl>
    <w:p w14:paraId="1C98042E">
      <w:pPr>
        <w:rPr>
          <w:rFonts w:ascii="仿宋" w:hAnsi="仿宋" w:eastAsia="仿宋"/>
          <w:color w:val="auto"/>
          <w:sz w:val="24"/>
          <w:szCs w:val="24"/>
          <w:highlight w:val="none"/>
        </w:rPr>
      </w:pPr>
    </w:p>
    <w:p w14:paraId="70FC46E1">
      <w:pPr>
        <w:spacing w:before="312" w:beforeLines="100" w:after="156" w:afterLines="50"/>
        <w:rPr>
          <w:rFonts w:hint="eastAsia" w:ascii="仿宋" w:hAnsi="仿宋" w:eastAsia="仿宋"/>
          <w:b/>
          <w:color w:val="auto"/>
          <w:sz w:val="24"/>
          <w:highlight w:val="none"/>
          <w:lang w:eastAsia="zh-CN"/>
        </w:rPr>
      </w:pPr>
      <w:r>
        <w:rPr>
          <w:rFonts w:ascii="仿宋" w:hAnsi="仿宋" w:eastAsia="仿宋"/>
          <w:b/>
          <w:color w:val="auto"/>
          <w:sz w:val="24"/>
          <w:highlight w:val="none"/>
        </w:rPr>
        <w:t>注1：服务期内保</w:t>
      </w:r>
      <w:r>
        <w:rPr>
          <w:rFonts w:ascii="仿宋" w:hAnsi="仿宋" w:eastAsia="仿宋"/>
          <w:b/>
          <w:color w:val="auto"/>
          <w:sz w:val="24"/>
          <w:highlight w:val="none"/>
        </w:rPr>
        <w:t>持不变，</w:t>
      </w:r>
      <w:r>
        <w:rPr>
          <w:rFonts w:hint="eastAsia" w:ascii="仿宋" w:hAnsi="仿宋" w:eastAsia="仿宋"/>
          <w:b/>
          <w:color w:val="auto"/>
          <w:sz w:val="24"/>
          <w:highlight w:val="none"/>
        </w:rPr>
        <w:t>招标代理服务费</w:t>
      </w:r>
      <w:r>
        <w:rPr>
          <w:rFonts w:ascii="仿宋" w:hAnsi="仿宋" w:eastAsia="仿宋"/>
          <w:b/>
          <w:color w:val="auto"/>
          <w:sz w:val="24"/>
          <w:highlight w:val="none"/>
        </w:rPr>
        <w:t>=</w:t>
      </w:r>
      <w:r>
        <w:rPr>
          <w:rFonts w:hint="eastAsia" w:ascii="仿宋" w:hAnsi="仿宋" w:eastAsia="仿宋" w:cs="宋体"/>
          <w:b/>
          <w:color w:val="auto"/>
          <w:sz w:val="24"/>
          <w:szCs w:val="24"/>
          <w:highlight w:val="none"/>
        </w:rPr>
        <w:t>招标代理服务费按计价格[2002]1980号文件的收费标准</w:t>
      </w:r>
      <w:r>
        <w:rPr>
          <w:rFonts w:ascii="仿宋" w:hAnsi="仿宋" w:eastAsia="仿宋"/>
          <w:b/>
          <w:color w:val="auto"/>
          <w:sz w:val="24"/>
          <w:highlight w:val="none"/>
        </w:rPr>
        <w:t>*</w:t>
      </w:r>
      <w:r>
        <w:rPr>
          <w:rFonts w:hint="eastAsia" w:ascii="仿宋" w:hAnsi="仿宋" w:eastAsia="仿宋"/>
          <w:b/>
          <w:color w:val="auto"/>
          <w:sz w:val="24"/>
          <w:highlight w:val="none"/>
          <w:lang w:eastAsia="zh-CN"/>
        </w:rPr>
        <w:t>结算率</w:t>
      </w:r>
    </w:p>
    <w:p w14:paraId="61FBF2E7">
      <w:pPr>
        <w:rPr>
          <w:rFonts w:hint="eastAsia" w:ascii="仿宋" w:hAnsi="仿宋" w:eastAsia="仿宋"/>
          <w:b/>
          <w:color w:val="auto"/>
          <w:sz w:val="24"/>
          <w:highlight w:val="none"/>
          <w:lang w:eastAsia="zh-CN"/>
        </w:rPr>
      </w:pPr>
      <w:r>
        <w:rPr>
          <w:rFonts w:hint="eastAsia" w:ascii="仿宋" w:hAnsi="仿宋" w:eastAsia="仿宋"/>
          <w:b/>
          <w:color w:val="auto"/>
          <w:sz w:val="24"/>
          <w:highlight w:val="none"/>
          <w:lang w:eastAsia="zh-CN"/>
        </w:rPr>
        <w:br w:type="page"/>
      </w:r>
    </w:p>
    <w:p w14:paraId="0E2E1073">
      <w:pPr>
        <w:spacing w:before="312" w:beforeLines="100" w:after="156" w:afterLines="50"/>
        <w:rPr>
          <w:rFonts w:hint="eastAsia" w:ascii="仿宋" w:hAnsi="仿宋" w:eastAsia="仿宋"/>
          <w:b/>
          <w:color w:val="auto"/>
          <w:sz w:val="24"/>
          <w:highlight w:val="none"/>
          <w:lang w:eastAsia="zh-CN"/>
        </w:rPr>
      </w:pPr>
    </w:p>
    <w:p w14:paraId="054888C1">
      <w:pPr>
        <w:widowControl/>
        <w:spacing w:line="420" w:lineRule="atLeast"/>
        <w:rPr>
          <w:color w:val="auto"/>
          <w:highlight w:val="none"/>
        </w:rPr>
      </w:pPr>
      <w:r>
        <w:rPr>
          <w:rFonts w:hint="eastAsia" w:ascii="仿宋" w:hAnsi="仿宋" w:eastAsia="仿宋" w:cs="宋体"/>
          <w:color w:val="auto"/>
          <w:kern w:val="0"/>
          <w:sz w:val="28"/>
          <w:szCs w:val="28"/>
          <w:highlight w:val="none"/>
          <w:lang w:eastAsia="zh-CN"/>
        </w:rPr>
        <w:t>附件</w:t>
      </w:r>
      <w:r>
        <w:rPr>
          <w:rFonts w:hint="eastAsia" w:ascii="仿宋" w:hAnsi="仿宋" w:eastAsia="仿宋" w:cs="宋体"/>
          <w:color w:val="auto"/>
          <w:kern w:val="0"/>
          <w:sz w:val="28"/>
          <w:szCs w:val="28"/>
          <w:highlight w:val="none"/>
          <w:lang w:val="en-US" w:eastAsia="zh-CN"/>
        </w:rPr>
        <w:t>四</w:t>
      </w:r>
      <w:r>
        <w:rPr>
          <w:rFonts w:hint="eastAsia" w:ascii="仿宋" w:hAnsi="仿宋" w:eastAsia="仿宋" w:cs="宋体"/>
          <w:color w:val="auto"/>
          <w:kern w:val="0"/>
          <w:sz w:val="28"/>
          <w:szCs w:val="28"/>
          <w:highlight w:val="none"/>
          <w:lang w:eastAsia="zh-CN"/>
        </w:rPr>
        <w:t>：报价一览表</w:t>
      </w:r>
    </w:p>
    <w:p w14:paraId="155753C4">
      <w:pPr>
        <w:widowControl/>
        <w:jc w:val="left"/>
        <w:rPr>
          <w:color w:val="auto"/>
          <w:highlight w:val="none"/>
        </w:rPr>
      </w:pPr>
    </w:p>
    <w:p w14:paraId="1685C688">
      <w:pPr>
        <w:ind w:left="1067" w:hanging="1067" w:hangingChars="443"/>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rPr>
        <w:t>项目名称：</w:t>
      </w:r>
      <w:r>
        <w:rPr>
          <w:rFonts w:hint="eastAsia" w:ascii="仿宋" w:hAnsi="仿宋" w:eastAsia="仿宋"/>
          <w:b/>
          <w:color w:val="auto"/>
          <w:sz w:val="24"/>
          <w:szCs w:val="24"/>
          <w:highlight w:val="none"/>
          <w:lang w:eastAsia="zh-CN"/>
        </w:rPr>
        <w:t>义乌市中心医院</w:t>
      </w:r>
      <w:r>
        <w:rPr>
          <w:rFonts w:hint="eastAsia" w:ascii="仿宋" w:hAnsi="仿宋" w:eastAsia="仿宋"/>
          <w:b/>
          <w:color w:val="auto"/>
          <w:sz w:val="24"/>
          <w:szCs w:val="24"/>
          <w:highlight w:val="none"/>
          <w:lang w:val="en-US" w:eastAsia="zh-CN"/>
        </w:rPr>
        <w:t>工程</w:t>
      </w:r>
      <w:r>
        <w:rPr>
          <w:rFonts w:hint="eastAsia" w:ascii="仿宋" w:hAnsi="仿宋" w:eastAsia="仿宋"/>
          <w:b/>
          <w:color w:val="auto"/>
          <w:sz w:val="24"/>
          <w:szCs w:val="24"/>
          <w:highlight w:val="none"/>
          <w:lang w:eastAsia="zh-CN"/>
        </w:rPr>
        <w:t>类项目招标代理服务</w:t>
      </w:r>
    </w:p>
    <w:p w14:paraId="2DED553A">
      <w:pPr>
        <w:ind w:left="1067" w:hanging="1067" w:hangingChars="443"/>
        <w:rPr>
          <w:rFonts w:ascii="仿宋" w:hAnsi="仿宋" w:eastAsia="仿宋"/>
          <w:b/>
          <w:color w:val="auto"/>
          <w:sz w:val="24"/>
          <w:szCs w:val="24"/>
          <w:highlight w:val="none"/>
          <w:u w:val="single"/>
        </w:rPr>
      </w:pPr>
      <w:r>
        <w:rPr>
          <w:rFonts w:hint="eastAsia" w:ascii="仿宋" w:hAnsi="仿宋" w:eastAsia="仿宋"/>
          <w:b/>
          <w:color w:val="auto"/>
          <w:sz w:val="24"/>
          <w:szCs w:val="24"/>
          <w:highlight w:val="none"/>
        </w:rPr>
        <w:t>招标编号：</w:t>
      </w:r>
      <w:r>
        <w:rPr>
          <w:rFonts w:hint="eastAsia" w:ascii="仿宋" w:hAnsi="仿宋" w:eastAsia="仿宋"/>
          <w:b/>
          <w:color w:val="auto"/>
          <w:sz w:val="24"/>
          <w:szCs w:val="24"/>
          <w:highlight w:val="none"/>
          <w:u w:val="single"/>
        </w:rPr>
        <w:t xml:space="preserve">               </w:t>
      </w:r>
    </w:p>
    <w:p w14:paraId="38468218">
      <w:pPr>
        <w:rPr>
          <w:rFonts w:ascii="仿宋" w:hAnsi="仿宋" w:eastAsia="仿宋"/>
          <w:color w:val="auto"/>
          <w:sz w:val="24"/>
          <w:szCs w:val="24"/>
          <w:highlight w:val="none"/>
        </w:rPr>
      </w:pPr>
    </w:p>
    <w:p w14:paraId="7837DEB7">
      <w:pPr>
        <w:rPr>
          <w:rFonts w:ascii="仿宋" w:hAnsi="仿宋" w:eastAsia="仿宋"/>
          <w:color w:val="auto"/>
          <w:sz w:val="24"/>
          <w:szCs w:val="24"/>
          <w:highlight w:val="none"/>
        </w:rPr>
      </w:pP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14:paraId="48034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14:paraId="67BF9A78">
            <w:pPr>
              <w:jc w:val="center"/>
              <w:rPr>
                <w:rFonts w:ascii="仿宋" w:hAnsi="仿宋" w:eastAsia="仿宋"/>
                <w:b/>
                <w:color w:val="auto"/>
                <w:sz w:val="28"/>
                <w:szCs w:val="28"/>
                <w:highlight w:val="none"/>
              </w:rPr>
            </w:pPr>
            <w:r>
              <w:rPr>
                <w:rFonts w:hint="eastAsia" w:ascii="仿宋" w:hAnsi="仿宋" w:eastAsia="仿宋"/>
                <w:color w:val="auto"/>
                <w:sz w:val="24"/>
                <w:szCs w:val="24"/>
                <w:highlight w:val="none"/>
                <w:lang w:eastAsia="zh-CN"/>
              </w:rPr>
              <w:t>工程类</w:t>
            </w:r>
            <w:r>
              <w:rPr>
                <w:rFonts w:hint="eastAsia" w:ascii="仿宋" w:hAnsi="仿宋" w:eastAsia="仿宋"/>
                <w:color w:val="auto"/>
                <w:sz w:val="24"/>
                <w:szCs w:val="24"/>
                <w:highlight w:val="none"/>
              </w:rPr>
              <w:t>项目</w:t>
            </w:r>
            <w:r>
              <w:rPr>
                <w:rFonts w:hint="eastAsia" w:ascii="仿宋" w:hAnsi="仿宋" w:eastAsia="仿宋"/>
                <w:color w:val="auto"/>
                <w:sz w:val="24"/>
                <w:szCs w:val="24"/>
                <w:highlight w:val="none"/>
                <w:lang w:val="en-US" w:eastAsia="zh-CN"/>
              </w:rPr>
              <w:t>造价咨询服务</w:t>
            </w:r>
            <w:r>
              <w:rPr>
                <w:rFonts w:hint="eastAsia" w:ascii="仿宋" w:hAnsi="仿宋" w:eastAsia="仿宋"/>
                <w:color w:val="auto"/>
                <w:sz w:val="24"/>
                <w:szCs w:val="24"/>
                <w:highlight w:val="none"/>
              </w:rPr>
              <w:t>基准价</w:t>
            </w:r>
          </w:p>
        </w:tc>
        <w:tc>
          <w:tcPr>
            <w:tcW w:w="2177" w:type="dxa"/>
            <w:vAlign w:val="center"/>
          </w:tcPr>
          <w:p w14:paraId="44D63381">
            <w:pPr>
              <w:jc w:val="center"/>
              <w:rPr>
                <w:rFonts w:hint="eastAsia" w:ascii="仿宋" w:hAnsi="仿宋" w:eastAsia="仿宋"/>
                <w:color w:val="auto"/>
                <w:sz w:val="24"/>
                <w:szCs w:val="24"/>
                <w:highlight w:val="none"/>
                <w:lang w:eastAsia="zh-CN"/>
              </w:rPr>
            </w:pPr>
            <w:r>
              <w:rPr>
                <w:rFonts w:hint="eastAsia" w:ascii="仿宋" w:hAnsi="仿宋" w:eastAsia="仿宋"/>
                <w:b/>
                <w:color w:val="auto"/>
                <w:sz w:val="24"/>
                <w:highlight w:val="none"/>
                <w:lang w:eastAsia="zh-CN"/>
              </w:rPr>
              <w:t>结算率</w:t>
            </w:r>
          </w:p>
        </w:tc>
      </w:tr>
      <w:tr w14:paraId="43872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14:paraId="25B9019E">
            <w:pPr>
              <w:rPr>
                <w:rFonts w:ascii="仿宋" w:hAnsi="仿宋" w:eastAsia="仿宋"/>
                <w:color w:val="auto"/>
                <w:sz w:val="24"/>
                <w:szCs w:val="24"/>
                <w:highlight w:val="none"/>
              </w:rPr>
            </w:pPr>
            <w:r>
              <w:rPr>
                <w:rFonts w:hint="eastAsia" w:ascii="仿宋" w:hAnsi="仿宋" w:eastAsia="仿宋" w:cs="宋体"/>
                <w:color w:val="auto"/>
                <w:sz w:val="24"/>
                <w:szCs w:val="24"/>
                <w:highlight w:val="none"/>
                <w:lang w:val="en-US" w:eastAsia="zh-CN"/>
              </w:rPr>
              <w:t>造价咨询</w:t>
            </w:r>
            <w:r>
              <w:rPr>
                <w:rFonts w:hint="eastAsia" w:ascii="仿宋" w:hAnsi="仿宋" w:eastAsia="仿宋" w:cs="宋体"/>
                <w:color w:val="auto"/>
                <w:sz w:val="24"/>
                <w:szCs w:val="24"/>
                <w:highlight w:val="none"/>
              </w:rPr>
              <w:t>服务费按</w:t>
            </w:r>
            <w:r>
              <w:rPr>
                <w:rFonts w:hint="eastAsia" w:ascii="仿宋" w:hAnsi="仿宋" w:eastAsia="仿宋" w:cs="宋体"/>
                <w:bCs/>
                <w:color w:val="auto"/>
                <w:sz w:val="24"/>
                <w:szCs w:val="24"/>
                <w:highlight w:val="none"/>
              </w:rPr>
              <w:t>浙价服〔2009〕84号</w:t>
            </w:r>
            <w:r>
              <w:rPr>
                <w:rFonts w:hint="eastAsia" w:ascii="仿宋" w:hAnsi="仿宋" w:eastAsia="仿宋" w:cs="宋体"/>
                <w:color w:val="auto"/>
                <w:sz w:val="24"/>
                <w:szCs w:val="24"/>
                <w:highlight w:val="none"/>
              </w:rPr>
              <w:t>文件的收费标准</w:t>
            </w:r>
          </w:p>
        </w:tc>
        <w:tc>
          <w:tcPr>
            <w:tcW w:w="2177" w:type="dxa"/>
            <w:vAlign w:val="center"/>
          </w:tcPr>
          <w:p w14:paraId="341AC25E">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u w:val="single"/>
                <w:lang w:val="en-US" w:eastAsia="zh-CN"/>
              </w:rPr>
              <w:t xml:space="preserve">    %</w:t>
            </w:r>
          </w:p>
        </w:tc>
      </w:tr>
    </w:tbl>
    <w:p w14:paraId="1BA4BD59">
      <w:pPr>
        <w:rPr>
          <w:rFonts w:ascii="仿宋" w:hAnsi="仿宋" w:eastAsia="仿宋"/>
          <w:color w:val="auto"/>
          <w:sz w:val="24"/>
          <w:szCs w:val="24"/>
          <w:highlight w:val="none"/>
        </w:rPr>
      </w:pPr>
    </w:p>
    <w:p w14:paraId="08A0EDA4">
      <w:pPr>
        <w:spacing w:before="312" w:beforeLines="100" w:after="156" w:afterLines="50"/>
        <w:rPr>
          <w:rFonts w:hint="eastAsia" w:ascii="仿宋" w:hAnsi="仿宋" w:eastAsia="仿宋"/>
          <w:b/>
          <w:color w:val="auto"/>
          <w:sz w:val="24"/>
          <w:highlight w:val="none"/>
          <w:lang w:eastAsia="zh-CN"/>
        </w:rPr>
      </w:pPr>
      <w:r>
        <w:rPr>
          <w:rFonts w:ascii="仿宋" w:hAnsi="仿宋" w:eastAsia="仿宋"/>
          <w:b/>
          <w:color w:val="auto"/>
          <w:sz w:val="24"/>
          <w:highlight w:val="none"/>
        </w:rPr>
        <w:t>注1：服务期内保</w:t>
      </w:r>
      <w:r>
        <w:rPr>
          <w:rFonts w:ascii="仿宋" w:hAnsi="仿宋" w:eastAsia="仿宋"/>
          <w:b/>
          <w:color w:val="auto"/>
          <w:sz w:val="24"/>
          <w:highlight w:val="none"/>
        </w:rPr>
        <w:t>持不变，</w:t>
      </w:r>
      <w:r>
        <w:rPr>
          <w:rFonts w:hint="eastAsia" w:ascii="仿宋" w:hAnsi="仿宋" w:eastAsia="仿宋" w:cs="宋体"/>
          <w:color w:val="auto"/>
          <w:sz w:val="24"/>
          <w:szCs w:val="24"/>
          <w:highlight w:val="none"/>
          <w:lang w:val="en-US" w:eastAsia="zh-CN"/>
        </w:rPr>
        <w:t>造价咨询</w:t>
      </w:r>
      <w:r>
        <w:rPr>
          <w:rFonts w:hint="eastAsia" w:ascii="仿宋" w:hAnsi="仿宋" w:eastAsia="仿宋" w:cs="宋体"/>
          <w:color w:val="auto"/>
          <w:sz w:val="24"/>
          <w:szCs w:val="24"/>
          <w:highlight w:val="none"/>
        </w:rPr>
        <w:t>服务费</w:t>
      </w:r>
      <w:r>
        <w:rPr>
          <w:rFonts w:ascii="仿宋" w:hAnsi="仿宋" w:eastAsia="仿宋"/>
          <w:b/>
          <w:color w:val="auto"/>
          <w:sz w:val="24"/>
          <w:highlight w:val="none"/>
        </w:rPr>
        <w:t>=</w:t>
      </w:r>
      <w:r>
        <w:rPr>
          <w:rFonts w:hint="eastAsia" w:ascii="仿宋" w:hAnsi="仿宋" w:eastAsia="仿宋" w:cs="宋体"/>
          <w:color w:val="auto"/>
          <w:sz w:val="24"/>
          <w:szCs w:val="24"/>
          <w:highlight w:val="none"/>
          <w:lang w:val="en-US" w:eastAsia="zh-CN"/>
        </w:rPr>
        <w:t>造价咨询</w:t>
      </w:r>
      <w:r>
        <w:rPr>
          <w:rFonts w:hint="eastAsia" w:ascii="仿宋" w:hAnsi="仿宋" w:eastAsia="仿宋" w:cs="宋体"/>
          <w:color w:val="auto"/>
          <w:sz w:val="24"/>
          <w:szCs w:val="24"/>
          <w:highlight w:val="none"/>
        </w:rPr>
        <w:t>服务费按</w:t>
      </w:r>
      <w:r>
        <w:rPr>
          <w:rFonts w:hint="eastAsia" w:ascii="仿宋" w:hAnsi="仿宋" w:eastAsia="仿宋" w:cs="宋体"/>
          <w:bCs/>
          <w:color w:val="auto"/>
          <w:sz w:val="24"/>
          <w:szCs w:val="24"/>
          <w:highlight w:val="none"/>
        </w:rPr>
        <w:t>浙价服〔2009〕84号</w:t>
      </w:r>
      <w:r>
        <w:rPr>
          <w:rFonts w:hint="eastAsia" w:ascii="仿宋" w:hAnsi="仿宋" w:eastAsia="仿宋" w:cs="宋体"/>
          <w:color w:val="auto"/>
          <w:sz w:val="24"/>
          <w:szCs w:val="24"/>
          <w:highlight w:val="none"/>
        </w:rPr>
        <w:t>文件的收费标准</w:t>
      </w:r>
      <w:r>
        <w:rPr>
          <w:rFonts w:ascii="仿宋" w:hAnsi="仿宋" w:eastAsia="仿宋"/>
          <w:b/>
          <w:color w:val="auto"/>
          <w:sz w:val="24"/>
          <w:highlight w:val="none"/>
        </w:rPr>
        <w:t>*</w:t>
      </w:r>
      <w:r>
        <w:rPr>
          <w:rFonts w:hint="eastAsia" w:ascii="仿宋" w:hAnsi="仿宋" w:eastAsia="仿宋"/>
          <w:b/>
          <w:color w:val="auto"/>
          <w:sz w:val="24"/>
          <w:highlight w:val="none"/>
          <w:lang w:eastAsia="zh-CN"/>
        </w:rPr>
        <w:t>结算率</w:t>
      </w:r>
    </w:p>
    <w:p w14:paraId="4BCDE605">
      <w:pPr>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br w:type="page"/>
      </w:r>
    </w:p>
    <w:p w14:paraId="63010031">
      <w:pPr>
        <w:snapToGrid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投 标 函</w:t>
      </w:r>
    </w:p>
    <w:p w14:paraId="76A49E60">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致：</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 xml:space="preserve">           </w:t>
      </w:r>
    </w:p>
    <w:p w14:paraId="0EE2B571">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1、我方已全面阅读和研究贵方的招标编号为</w:t>
      </w:r>
      <w:r>
        <w:rPr>
          <w:rFonts w:hint="eastAsia" w:ascii="仿宋" w:hAnsi="仿宋" w:eastAsia="仿宋" w:cs="宋体"/>
          <w:color w:val="auto"/>
          <w:sz w:val="24"/>
          <w:szCs w:val="24"/>
          <w:highlight w:val="none"/>
          <w:u w:val="single"/>
        </w:rPr>
        <w:t xml:space="preserve"> XXX </w:t>
      </w:r>
      <w:r>
        <w:rPr>
          <w:rFonts w:hint="eastAsia" w:ascii="仿宋" w:hAnsi="仿宋" w:eastAsia="仿宋" w:cs="宋体"/>
          <w:color w:val="auto"/>
          <w:sz w:val="24"/>
          <w:szCs w:val="24"/>
          <w:highlight w:val="none"/>
        </w:rPr>
        <w:t>的</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kern w:val="0"/>
          <w:sz w:val="24"/>
          <w:szCs w:val="24"/>
          <w:highlight w:val="none"/>
          <w:u w:val="single"/>
        </w:rPr>
        <w:t xml:space="preserve">           招标代理服务机构项目</w:t>
      </w:r>
      <w:r>
        <w:rPr>
          <w:rFonts w:hint="eastAsia" w:ascii="仿宋" w:hAnsi="仿宋" w:eastAsia="仿宋" w:cs="宋体"/>
          <w:color w:val="auto"/>
          <w:sz w:val="24"/>
          <w:szCs w:val="24"/>
          <w:highlight w:val="none"/>
        </w:rPr>
        <w:t>招标文件和招标补充文件，同意接受招标文件的全部内容和条件，并按此确定本项目投标的全部内容，以本投标文件向你方发包的全部内容进行投标。</w:t>
      </w:r>
    </w:p>
    <w:p w14:paraId="474E78EF">
      <w:pPr>
        <w:snapToGrid w:val="0"/>
        <w:spacing w:line="360" w:lineRule="auto"/>
        <w:ind w:firstLine="482"/>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针对本项目，我方报价如下：</w:t>
      </w:r>
    </w:p>
    <w:p w14:paraId="5C9286E8">
      <w:pPr>
        <w:snapToGrid w:val="0"/>
        <w:spacing w:line="360" w:lineRule="auto"/>
        <w:ind w:firstLine="482"/>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招标代理服务费按计价格[2002]1980号文件的收费标</w:t>
      </w:r>
      <w:r>
        <w:rPr>
          <w:rFonts w:hint="eastAsia" w:ascii="仿宋" w:hAnsi="仿宋" w:eastAsia="仿宋" w:cs="宋体"/>
          <w:b/>
          <w:color w:val="auto"/>
          <w:sz w:val="24"/>
          <w:szCs w:val="24"/>
          <w:highlight w:val="none"/>
        </w:rPr>
        <w:t>准</w:t>
      </w:r>
      <w:r>
        <w:rPr>
          <w:rFonts w:hint="eastAsia" w:ascii="仿宋" w:hAnsi="仿宋" w:eastAsia="仿宋" w:cs="宋体"/>
          <w:b/>
          <w:color w:val="auto"/>
          <w:sz w:val="24"/>
          <w:szCs w:val="24"/>
          <w:highlight w:val="none"/>
          <w:lang w:val="en-US" w:eastAsia="zh-CN"/>
        </w:rPr>
        <w:t>的</w:t>
      </w:r>
      <w:r>
        <w:rPr>
          <w:rFonts w:hint="eastAsia" w:ascii="仿宋" w:hAnsi="仿宋" w:eastAsia="仿宋" w:cs="宋体"/>
          <w:b/>
          <w:color w:val="auto"/>
          <w:sz w:val="24"/>
          <w:szCs w:val="24"/>
          <w:highlight w:val="none"/>
          <w:u w:val="single"/>
        </w:rPr>
        <w:t xml:space="preserve">       </w:t>
      </w:r>
      <w:r>
        <w:rPr>
          <w:rFonts w:hint="eastAsia" w:ascii="仿宋" w:hAnsi="仿宋" w:eastAsia="仿宋" w:cs="宋体"/>
          <w:b/>
          <w:color w:val="auto"/>
          <w:sz w:val="24"/>
          <w:szCs w:val="24"/>
          <w:highlight w:val="none"/>
        </w:rPr>
        <w:t>%进行计算。</w:t>
      </w:r>
    </w:p>
    <w:p w14:paraId="60625243">
      <w:pPr>
        <w:snapToGrid w:val="0"/>
        <w:spacing w:line="360" w:lineRule="auto"/>
        <w:ind w:firstLine="482"/>
        <w:rPr>
          <w:rFonts w:hint="eastAsia" w:ascii="仿宋" w:hAnsi="仿宋" w:eastAsia="仿宋" w:cs="宋体"/>
          <w:b/>
          <w:color w:val="auto"/>
          <w:sz w:val="24"/>
          <w:szCs w:val="24"/>
          <w:highlight w:val="none"/>
        </w:rPr>
      </w:pPr>
      <w:r>
        <w:rPr>
          <w:rFonts w:hint="eastAsia" w:ascii="仿宋" w:hAnsi="仿宋" w:eastAsia="仿宋" w:cs="宋体"/>
          <w:color w:val="auto"/>
          <w:sz w:val="24"/>
          <w:szCs w:val="24"/>
          <w:highlight w:val="none"/>
          <w:lang w:val="en-US" w:eastAsia="zh-CN"/>
        </w:rPr>
        <w:t>造价咨询</w:t>
      </w:r>
      <w:r>
        <w:rPr>
          <w:rFonts w:hint="eastAsia" w:ascii="仿宋" w:hAnsi="仿宋" w:eastAsia="仿宋" w:cs="宋体"/>
          <w:color w:val="auto"/>
          <w:sz w:val="24"/>
          <w:szCs w:val="24"/>
          <w:highlight w:val="none"/>
        </w:rPr>
        <w:t>服务费按</w:t>
      </w:r>
      <w:r>
        <w:rPr>
          <w:rFonts w:hint="eastAsia" w:ascii="仿宋" w:hAnsi="仿宋" w:eastAsia="仿宋" w:cs="宋体"/>
          <w:bCs/>
          <w:color w:val="auto"/>
          <w:sz w:val="24"/>
          <w:szCs w:val="24"/>
          <w:highlight w:val="none"/>
        </w:rPr>
        <w:t>浙价服〔2009〕84号</w:t>
      </w:r>
      <w:r>
        <w:rPr>
          <w:rFonts w:hint="eastAsia" w:ascii="仿宋" w:hAnsi="仿宋" w:eastAsia="仿宋" w:cs="宋体"/>
          <w:color w:val="auto"/>
          <w:sz w:val="24"/>
          <w:szCs w:val="24"/>
          <w:highlight w:val="none"/>
        </w:rPr>
        <w:t>文件的收费标准</w:t>
      </w:r>
      <w:r>
        <w:rPr>
          <w:rFonts w:hint="eastAsia" w:ascii="仿宋" w:hAnsi="仿宋" w:eastAsia="仿宋" w:cs="宋体"/>
          <w:b/>
          <w:color w:val="auto"/>
          <w:sz w:val="24"/>
          <w:szCs w:val="24"/>
          <w:highlight w:val="none"/>
          <w:lang w:val="en-US" w:eastAsia="zh-CN"/>
        </w:rPr>
        <w:t>的</w:t>
      </w:r>
      <w:r>
        <w:rPr>
          <w:rFonts w:hint="eastAsia" w:ascii="仿宋" w:hAnsi="仿宋" w:eastAsia="仿宋" w:cs="宋体"/>
          <w:b/>
          <w:color w:val="auto"/>
          <w:sz w:val="24"/>
          <w:szCs w:val="24"/>
          <w:highlight w:val="none"/>
          <w:u w:val="single"/>
        </w:rPr>
        <w:t xml:space="preserve">       </w:t>
      </w:r>
      <w:r>
        <w:rPr>
          <w:rFonts w:hint="eastAsia" w:ascii="仿宋" w:hAnsi="仿宋" w:eastAsia="仿宋" w:cs="宋体"/>
          <w:b/>
          <w:color w:val="auto"/>
          <w:sz w:val="24"/>
          <w:szCs w:val="24"/>
          <w:highlight w:val="none"/>
        </w:rPr>
        <w:t>%进行计算。</w:t>
      </w:r>
    </w:p>
    <w:p w14:paraId="1DEBEAD1">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2、我方将严格按照有关招标投标法规及招标文件的规定参加投标，并理解贵方不一定接受最低标价的投标，对决标结果也没有解释义务。</w:t>
      </w:r>
    </w:p>
    <w:p w14:paraId="3E72DB9D">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3、如由我方中标，在接到你方发出的中标通知后在规定的时间内，按中标通知、招标文件和本投标文件的约定与你方</w:t>
      </w:r>
      <w:r>
        <w:rPr>
          <w:rFonts w:hint="eastAsia" w:ascii="仿宋" w:hAnsi="仿宋" w:eastAsia="仿宋" w:cs="宋体"/>
          <w:color w:val="auto"/>
          <w:sz w:val="24"/>
          <w:szCs w:val="24"/>
          <w:highlight w:val="none"/>
          <w:lang w:eastAsia="zh-CN"/>
        </w:rPr>
        <w:t>签订</w:t>
      </w:r>
      <w:r>
        <w:rPr>
          <w:rFonts w:hint="eastAsia" w:ascii="仿宋" w:hAnsi="仿宋" w:eastAsia="仿宋" w:cs="宋体"/>
          <w:color w:val="auto"/>
          <w:sz w:val="24"/>
          <w:szCs w:val="24"/>
          <w:highlight w:val="none"/>
        </w:rPr>
        <w:t>招标代理合同，并递交招标文件中规定金额的履约保证金，履行规定的一切责任和义务。</w:t>
      </w:r>
    </w:p>
    <w:p w14:paraId="71DE6FD5">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4、我方将按照招标文件的所有要求，提供优质的代理服务。</w:t>
      </w:r>
    </w:p>
    <w:p w14:paraId="3C15B2F6">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5、我方已详细审查全部招标文件，我们完全理解并同意放弃对这方面有不明及误解的权利。</w:t>
      </w:r>
    </w:p>
    <w:p w14:paraId="338C63D5">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6、我方同意提供按照贵方可能要求的于其投标有关的一切数据和资料。</w:t>
      </w:r>
    </w:p>
    <w:p w14:paraId="5B6D9407">
      <w:pPr>
        <w:snapToGrid w:val="0"/>
        <w:spacing w:line="360" w:lineRule="auto"/>
        <w:ind w:firstLine="482"/>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7、我方承认该投标文件格式为投标文件的组成部分。</w:t>
      </w:r>
    </w:p>
    <w:p w14:paraId="0538F6F9">
      <w:pPr>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8、本投标文件自递交你方之日起</w:t>
      </w:r>
      <w:r>
        <w:rPr>
          <w:rFonts w:hint="eastAsia" w:ascii="仿宋" w:hAnsi="仿宋" w:eastAsia="仿宋" w:cs="宋体"/>
          <w:color w:val="auto"/>
          <w:sz w:val="24"/>
          <w:szCs w:val="24"/>
          <w:highlight w:val="none"/>
          <w:u w:val="single"/>
        </w:rPr>
        <w:t xml:space="preserve"> 90</w:t>
      </w:r>
      <w:r>
        <w:rPr>
          <w:rFonts w:hint="eastAsia" w:ascii="仿宋" w:hAnsi="仿宋" w:eastAsia="仿宋" w:cs="宋体"/>
          <w:color w:val="auto"/>
          <w:sz w:val="24"/>
          <w:szCs w:val="24"/>
          <w:highlight w:val="none"/>
        </w:rPr>
        <w:t>天内有效，在此有效期内，全部条款内容对我方具有约束力，如中标将成为招标代理合同文件组成部分。</w:t>
      </w:r>
    </w:p>
    <w:p w14:paraId="69E27BC1">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712D450B">
      <w:pPr>
        <w:snapToGrid w:val="0"/>
        <w:spacing w:line="360" w:lineRule="auto"/>
        <w:rPr>
          <w:rFonts w:ascii="仿宋" w:hAnsi="仿宋" w:eastAsia="仿宋" w:cs="宋体"/>
          <w:color w:val="auto"/>
          <w:sz w:val="24"/>
          <w:szCs w:val="24"/>
          <w:highlight w:val="none"/>
        </w:rPr>
      </w:pPr>
    </w:p>
    <w:p w14:paraId="570B9BFF">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投标人（盖公章）：             法定代表人或授权代表（签章）：</w:t>
      </w:r>
    </w:p>
    <w:p w14:paraId="1749AB53">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2351685C">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联系人：                      联系地址：</w:t>
      </w:r>
    </w:p>
    <w:p w14:paraId="71A22B36">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p>
    <w:p w14:paraId="2123D954">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日期：</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日</w:t>
      </w:r>
    </w:p>
    <w:p w14:paraId="1417C5B8">
      <w:pPr>
        <w:ind w:firstLine="5160" w:firstLineChars="2150"/>
        <w:rPr>
          <w:rFonts w:ascii="仿宋" w:hAnsi="仿宋" w:eastAsia="仿宋"/>
          <w:color w:val="auto"/>
          <w:sz w:val="24"/>
          <w:szCs w:val="24"/>
          <w:highlight w:val="none"/>
        </w:rPr>
      </w:pPr>
    </w:p>
    <w:p w14:paraId="5BF4B02E">
      <w:pPr>
        <w:rPr>
          <w:rFonts w:ascii="仿宋" w:hAnsi="仿宋" w:eastAsia="仿宋"/>
          <w:color w:val="auto"/>
          <w:sz w:val="24"/>
          <w:szCs w:val="24"/>
          <w:highlight w:val="none"/>
        </w:rPr>
      </w:pPr>
    </w:p>
    <w:p w14:paraId="7E396CA1">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第八章   合同模板</w:t>
      </w:r>
    </w:p>
    <w:p w14:paraId="504AAF82">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甲方：</w:t>
      </w:r>
      <w:r>
        <w:rPr>
          <w:rFonts w:hint="eastAsia" w:ascii="仿宋" w:hAnsi="仿宋" w:eastAsia="仿宋" w:cs="宋体"/>
          <w:color w:val="auto"/>
          <w:sz w:val="24"/>
          <w:szCs w:val="24"/>
          <w:highlight w:val="none"/>
          <w:u w:val="single"/>
        </w:rPr>
        <w:t xml:space="preserve">                   </w:t>
      </w:r>
    </w:p>
    <w:p w14:paraId="397E3A65">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w:t>
      </w:r>
      <w:r>
        <w:rPr>
          <w:rFonts w:hint="eastAsia" w:ascii="仿宋" w:hAnsi="仿宋" w:eastAsia="仿宋" w:cs="宋体"/>
          <w:color w:val="auto"/>
          <w:sz w:val="24"/>
          <w:szCs w:val="24"/>
          <w:highlight w:val="none"/>
          <w:u w:val="single"/>
        </w:rPr>
        <w:t xml:space="preserve">                    </w:t>
      </w:r>
    </w:p>
    <w:p w14:paraId="62EB4563">
      <w:pPr>
        <w:tabs>
          <w:tab w:val="left" w:pos="630"/>
        </w:tabs>
        <w:snapToGrid w:val="0"/>
        <w:spacing w:line="360" w:lineRule="auto"/>
        <w:ind w:firstLine="480"/>
        <w:rPr>
          <w:rFonts w:ascii="仿宋" w:hAnsi="仿宋" w:eastAsia="仿宋" w:cs="宋体"/>
          <w:color w:val="auto"/>
          <w:kern w:val="0"/>
          <w:sz w:val="24"/>
          <w:szCs w:val="24"/>
          <w:highlight w:val="none"/>
          <w:u w:val="single"/>
        </w:rPr>
      </w:pPr>
      <w:r>
        <w:rPr>
          <w:rFonts w:hint="eastAsia" w:ascii="仿宋" w:hAnsi="仿宋" w:eastAsia="仿宋" w:cs="宋体"/>
          <w:color w:val="auto"/>
          <w:sz w:val="24"/>
          <w:szCs w:val="24"/>
          <w:highlight w:val="none"/>
        </w:rPr>
        <w:t>根据招标结果，甲、乙双方就</w:t>
      </w:r>
      <w:r>
        <w:rPr>
          <w:rFonts w:hint="eastAsia" w:ascii="仿宋" w:hAnsi="仿宋" w:eastAsia="仿宋" w:cs="宋体"/>
          <w:color w:val="auto"/>
          <w:kern w:val="0"/>
          <w:sz w:val="24"/>
          <w:szCs w:val="24"/>
          <w:highlight w:val="none"/>
          <w:u w:val="single"/>
        </w:rPr>
        <w:t xml:space="preserve">                                                         </w:t>
      </w:r>
      <w:r>
        <w:rPr>
          <w:rFonts w:hint="eastAsia" w:ascii="仿宋" w:hAnsi="仿宋" w:eastAsia="仿宋" w:cs="宋体"/>
          <w:color w:val="auto"/>
          <w:kern w:val="0"/>
          <w:sz w:val="24"/>
          <w:szCs w:val="24"/>
          <w:highlight w:val="none"/>
          <w:u w:val="single"/>
          <w:lang w:eastAsia="zh-CN"/>
        </w:rPr>
        <w:t>义乌市中心医院</w:t>
      </w:r>
      <w:r>
        <w:rPr>
          <w:rFonts w:hint="eastAsia" w:ascii="仿宋" w:hAnsi="仿宋" w:eastAsia="仿宋" w:cs="宋体"/>
          <w:b/>
          <w:bCs/>
          <w:color w:val="auto"/>
          <w:kern w:val="0"/>
          <w:sz w:val="24"/>
          <w:szCs w:val="24"/>
          <w:highlight w:val="none"/>
          <w:u w:val="single"/>
          <w:lang w:val="en-US" w:eastAsia="zh-CN"/>
        </w:rPr>
        <w:t>工程类</w:t>
      </w:r>
      <w:r>
        <w:rPr>
          <w:rFonts w:hint="eastAsia" w:ascii="仿宋" w:hAnsi="仿宋" w:eastAsia="仿宋" w:cs="宋体"/>
          <w:color w:val="auto"/>
          <w:kern w:val="0"/>
          <w:sz w:val="24"/>
          <w:szCs w:val="24"/>
          <w:highlight w:val="none"/>
          <w:u w:val="single"/>
          <w:lang w:eastAsia="zh-CN"/>
        </w:rPr>
        <w:t>招标代理服务</w:t>
      </w:r>
      <w:r>
        <w:rPr>
          <w:rFonts w:hint="eastAsia" w:ascii="仿宋" w:hAnsi="仿宋" w:eastAsia="仿宋" w:cs="宋体"/>
          <w:color w:val="auto"/>
          <w:sz w:val="24"/>
          <w:szCs w:val="24"/>
          <w:highlight w:val="none"/>
        </w:rPr>
        <w:t>（项目编号：</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）采购等有关事宜，经充分协商，自愿签订协议条款如下，供双方共同遵守履行：</w:t>
      </w:r>
    </w:p>
    <w:p w14:paraId="5E54647F">
      <w:pPr>
        <w:pStyle w:val="2"/>
        <w:numPr>
          <w:ilvl w:val="0"/>
          <w:numId w:val="0"/>
        </w:numPr>
        <w:snapToGrid w:val="0"/>
        <w:ind w:leftChars="0"/>
        <w:rPr>
          <w:rFonts w:ascii="仿宋" w:eastAsia="仿宋" w:cs="宋体"/>
          <w:color w:val="auto"/>
          <w:sz w:val="24"/>
          <w:szCs w:val="24"/>
          <w:highlight w:val="none"/>
        </w:rPr>
      </w:pPr>
      <w:bookmarkStart w:id="14" w:name="_Toc229468719"/>
      <w:r>
        <w:rPr>
          <w:rFonts w:hint="eastAsia" w:ascii="仿宋" w:eastAsia="仿宋" w:cs="宋体"/>
          <w:color w:val="auto"/>
          <w:sz w:val="24"/>
          <w:szCs w:val="24"/>
          <w:highlight w:val="none"/>
        </w:rPr>
        <w:t>一、甲方的权利和义务</w:t>
      </w:r>
      <w:bookmarkEnd w:id="14"/>
    </w:p>
    <w:p w14:paraId="7730F2AE">
      <w:pPr>
        <w:tabs>
          <w:tab w:val="left" w:pos="315"/>
        </w:tabs>
        <w:snapToGrid w:val="0"/>
        <w:spacing w:line="360" w:lineRule="auto"/>
        <w:rPr>
          <w:rFonts w:ascii="仿宋" w:hAnsi="仿宋" w:eastAsia="仿宋" w:cs="宋体"/>
          <w:color w:val="auto"/>
          <w:sz w:val="24"/>
          <w:szCs w:val="24"/>
          <w:highlight w:val="none"/>
        </w:rPr>
      </w:pPr>
      <w:bookmarkStart w:id="15" w:name="_Toc229468720"/>
      <w:r>
        <w:rPr>
          <w:rFonts w:hint="eastAsia" w:ascii="仿宋" w:hAnsi="仿宋" w:eastAsia="仿宋" w:cs="宋体"/>
          <w:color w:val="auto"/>
          <w:sz w:val="24"/>
          <w:szCs w:val="24"/>
          <w:highlight w:val="none"/>
        </w:rPr>
        <w:t xml:space="preserve">    1.甲方</w:t>
      </w:r>
      <w:r>
        <w:rPr>
          <w:rFonts w:hint="eastAsia" w:ascii="仿宋" w:hAnsi="仿宋" w:eastAsia="仿宋" w:cs="宋体"/>
          <w:color w:val="auto"/>
          <w:sz w:val="24"/>
          <w:szCs w:val="24"/>
          <w:highlight w:val="none"/>
        </w:rPr>
        <w:t>有权根据实际需要及乙方在投标文件和其他书面文件的承诺，确定最终招标代理及</w:t>
      </w:r>
      <w:r>
        <w:rPr>
          <w:rFonts w:hint="eastAsia" w:ascii="仿宋" w:hAnsi="仿宋" w:eastAsia="仿宋" w:cs="宋体"/>
          <w:color w:val="auto"/>
          <w:sz w:val="24"/>
          <w:szCs w:val="24"/>
          <w:highlight w:val="none"/>
          <w:lang w:eastAsia="zh-CN"/>
        </w:rPr>
        <w:t>造价</w:t>
      </w:r>
      <w:r>
        <w:rPr>
          <w:rFonts w:hint="eastAsia" w:ascii="仿宋" w:hAnsi="仿宋" w:eastAsia="仿宋" w:cs="宋体"/>
          <w:color w:val="auto"/>
          <w:sz w:val="24"/>
          <w:szCs w:val="24"/>
          <w:highlight w:val="none"/>
        </w:rPr>
        <w:t>咨询服务项目、数量、服务期限等内容。</w:t>
      </w:r>
    </w:p>
    <w:p w14:paraId="1DE6382F">
      <w:pPr>
        <w:tabs>
          <w:tab w:val="left" w:pos="0"/>
          <w:tab w:val="left" w:pos="315"/>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2.甲方有权按照本项目的招投标文件、本协议等文件对乙方履约行为进行监督和检查。如发现乙方违反招投标文件、本框架协议的有关规定或其他承诺，甲方有权解除本协议并追究乙方的违约责任，同时有权通过媒体公告或其他形式披露乙方的违约行为。</w:t>
      </w:r>
    </w:p>
    <w:p w14:paraId="298A0AC7">
      <w:pPr>
        <w:tabs>
          <w:tab w:val="left" w:pos="315"/>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3.每个单项招标代理服务委托时，待甲方审定确认，发布采购公告等采购信息，组织采购活动（包括组建评标委员会、开标、评标、推荐中标供应商候选人、发布中标通知书、向甲方提交评标报告及相关采购活动工作资料（装订成册），及时将有关采购文件和采购合同等报相关部门备案），期间发生的费用由乙方承担。</w:t>
      </w:r>
    </w:p>
    <w:p w14:paraId="3C05CEF3">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4.当甲方实际使用部门投诉乙方服务存在质量问题时，乙方承诺按照本协议及招投标文件和其他相关约定及时处理；若乙方对投诉有异议或对服务是否存在服务问题不能与甲方达成一致书面意见的，甲方可向财政部门或有关建设部门投诉。</w:t>
      </w:r>
    </w:p>
    <w:p w14:paraId="323A0DF7">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5.招标代理及造价咨询服务费由</w:t>
      </w:r>
      <w:r>
        <w:rPr>
          <w:rFonts w:hint="eastAsia" w:ascii="仿宋" w:hAnsi="仿宋" w:eastAsia="仿宋" w:cs="宋体"/>
          <w:b/>
          <w:bCs/>
          <w:color w:val="auto"/>
          <w:sz w:val="24"/>
          <w:szCs w:val="24"/>
          <w:highlight w:val="none"/>
        </w:rPr>
        <w:t>单个项目中标单位（或供应商）</w:t>
      </w:r>
      <w:r>
        <w:rPr>
          <w:rFonts w:hint="eastAsia" w:ascii="仿宋" w:hAnsi="仿宋" w:eastAsia="仿宋" w:cs="宋体"/>
          <w:color w:val="auto"/>
          <w:sz w:val="24"/>
          <w:szCs w:val="24"/>
          <w:highlight w:val="none"/>
        </w:rPr>
        <w:t>支付。</w:t>
      </w:r>
    </w:p>
    <w:p w14:paraId="6727777D">
      <w:pPr>
        <w:tabs>
          <w:tab w:val="left" w:pos="315"/>
        </w:tabs>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6.甲方保证依法履行本协议项下约定的全部义务。</w:t>
      </w:r>
    </w:p>
    <w:p w14:paraId="63FF3634">
      <w:pPr>
        <w:tabs>
          <w:tab w:val="left" w:pos="315"/>
        </w:tabs>
        <w:snapToGrid w:val="0"/>
        <w:spacing w:line="360" w:lineRule="auto"/>
        <w:ind w:firstLine="480" w:firstLineChars="200"/>
        <w:rPr>
          <w:rFonts w:ascii="仿宋" w:hAnsi="仿宋" w:eastAsia="仿宋" w:cs="宋体"/>
          <w:color w:val="auto"/>
          <w:sz w:val="24"/>
          <w:szCs w:val="24"/>
          <w:highlight w:val="none"/>
        </w:rPr>
      </w:pPr>
    </w:p>
    <w:p w14:paraId="2AB9E403">
      <w:pPr>
        <w:pStyle w:val="2"/>
        <w:numPr>
          <w:ilvl w:val="0"/>
          <w:numId w:val="0"/>
        </w:numPr>
        <w:snapToGrid w:val="0"/>
        <w:ind w:leftChars="0"/>
        <w:rPr>
          <w:rFonts w:ascii="仿宋" w:eastAsia="仿宋" w:cs="宋体"/>
          <w:color w:val="auto"/>
          <w:sz w:val="24"/>
          <w:szCs w:val="24"/>
          <w:highlight w:val="none"/>
        </w:rPr>
      </w:pPr>
      <w:r>
        <w:rPr>
          <w:rFonts w:hint="eastAsia" w:ascii="仿宋" w:eastAsia="仿宋" w:cs="宋体"/>
          <w:color w:val="auto"/>
          <w:sz w:val="24"/>
          <w:szCs w:val="24"/>
          <w:highlight w:val="none"/>
        </w:rPr>
        <w:t>二、乙方的权利和义务</w:t>
      </w:r>
      <w:bookmarkEnd w:id="15"/>
    </w:p>
    <w:p w14:paraId="63C7EA25">
      <w:pPr>
        <w:tabs>
          <w:tab w:val="left" w:pos="630"/>
        </w:tabs>
        <w:snapToGrid w:val="0"/>
        <w:spacing w:line="360" w:lineRule="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 xml:space="preserve">    1.乙方为</w:t>
      </w:r>
      <w:r>
        <w:rPr>
          <w:rFonts w:hint="eastAsia" w:ascii="仿宋" w:hAnsi="仿宋" w:eastAsia="仿宋" w:cs="宋体"/>
          <w:color w:val="auto"/>
          <w:sz w:val="24"/>
          <w:szCs w:val="24"/>
          <w:highlight w:val="none"/>
          <w:lang w:eastAsia="zh-CN"/>
        </w:rPr>
        <w:t>义乌市中心医院</w:t>
      </w:r>
      <w:r>
        <w:rPr>
          <w:rFonts w:hint="eastAsia" w:ascii="仿宋" w:hAnsi="仿宋" w:eastAsia="仿宋" w:cs="宋体"/>
          <w:color w:val="auto"/>
          <w:sz w:val="24"/>
          <w:szCs w:val="24"/>
          <w:highlight w:val="none"/>
        </w:rPr>
        <w:t>所需的</w:t>
      </w:r>
      <w:r>
        <w:rPr>
          <w:rFonts w:hint="eastAsia" w:ascii="仿宋" w:hAnsi="仿宋" w:eastAsia="仿宋" w:cs="宋体"/>
          <w:color w:val="auto"/>
          <w:sz w:val="24"/>
          <w:szCs w:val="24"/>
          <w:highlight w:val="none"/>
          <w:lang w:eastAsia="zh-CN"/>
        </w:rPr>
        <w:t>一般</w:t>
      </w:r>
      <w:r>
        <w:rPr>
          <w:rFonts w:hint="eastAsia" w:ascii="仿宋" w:hAnsi="仿宋" w:eastAsia="仿宋" w:cs="宋体"/>
          <w:color w:val="auto"/>
          <w:sz w:val="24"/>
          <w:szCs w:val="24"/>
          <w:highlight w:val="none"/>
        </w:rPr>
        <w:t>货物、服务</w:t>
      </w:r>
      <w:r>
        <w:rPr>
          <w:rFonts w:hint="eastAsia" w:ascii="仿宋" w:hAnsi="仿宋" w:eastAsia="仿宋" w:cs="宋体"/>
          <w:color w:val="auto"/>
          <w:sz w:val="24"/>
          <w:szCs w:val="24"/>
          <w:highlight w:val="none"/>
          <w:lang w:val="en-US" w:eastAsia="zh-CN"/>
        </w:rPr>
        <w:t>/</w:t>
      </w:r>
      <w:r>
        <w:rPr>
          <w:rFonts w:hint="eastAsia" w:ascii="仿宋" w:hAnsi="仿宋" w:eastAsia="仿宋" w:cs="宋体"/>
          <w:color w:val="auto"/>
          <w:sz w:val="24"/>
          <w:szCs w:val="24"/>
          <w:highlight w:val="none"/>
        </w:rPr>
        <w:t>工程类招标项目提供招标代理服务</w:t>
      </w:r>
      <w:r>
        <w:rPr>
          <w:rFonts w:hint="eastAsia" w:ascii="仿宋" w:hAnsi="仿宋" w:eastAsia="仿宋" w:cs="宋体"/>
          <w:color w:val="auto"/>
          <w:sz w:val="24"/>
          <w:szCs w:val="24"/>
          <w:highlight w:val="none"/>
          <w:lang w:val="en-US" w:eastAsia="zh-CN"/>
        </w:rPr>
        <w:t>/</w:t>
      </w:r>
      <w:r>
        <w:rPr>
          <w:rFonts w:hint="eastAsia" w:ascii="仿宋" w:hAnsi="仿宋" w:eastAsia="仿宋" w:cs="宋体"/>
          <w:color w:val="auto"/>
          <w:sz w:val="24"/>
          <w:szCs w:val="24"/>
          <w:highlight w:val="none"/>
        </w:rPr>
        <w:t>工程类项目提供造价咨询服务。</w:t>
      </w:r>
      <w:r>
        <w:rPr>
          <w:rFonts w:hint="eastAsia" w:ascii="仿宋" w:hAnsi="仿宋" w:eastAsia="仿宋" w:cs="宋体"/>
          <w:color w:val="auto"/>
          <w:sz w:val="24"/>
          <w:szCs w:val="24"/>
          <w:highlight w:val="none"/>
          <w:lang w:val="en-US" w:eastAsia="zh-CN"/>
        </w:rPr>
        <w:t xml:space="preserve"> </w:t>
      </w:r>
    </w:p>
    <w:p w14:paraId="4AE772D8">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2.乙方提供的服务均须符合国家标准和招标文件要求，乙方保证依据招标文件要求和投标文件的承诺，及时向甲方各部门提供高质量的服务，且不在本协议和招投标文件内容之外提出任何附加条款；若实际存在任何附加或额外条款，无论签署的情形如何，均应当被视为无效。</w:t>
      </w:r>
    </w:p>
    <w:p w14:paraId="30F1FD10">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3.乙方违反招投标文件、本协议以及其他书面承诺，均应依法承担违约责任。</w:t>
      </w:r>
    </w:p>
    <w:p w14:paraId="10E95EC6">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4.乙方在委托采购代理的范围内按法律法规处理一切事务，对甲方提出的采购内容及技术需求等，有依法审查的义务，并对其招标采购</w:t>
      </w:r>
      <w:r>
        <w:rPr>
          <w:rFonts w:hint="eastAsia" w:ascii="仿宋" w:hAnsi="仿宋" w:eastAsia="仿宋" w:cs="宋体"/>
          <w:color w:val="auto"/>
          <w:sz w:val="24"/>
          <w:szCs w:val="24"/>
          <w:highlight w:val="none"/>
        </w:rPr>
        <w:t>代理事项的合法性负责。</w:t>
      </w:r>
    </w:p>
    <w:p w14:paraId="551CB301">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5.乙方应按规定的程序和要求独立组织采购活动，接受甲方和有关部门的监督，自觉执行回避制度，遵守廉政规定和采购纪律，并承担保密责任。</w:t>
      </w:r>
    </w:p>
    <w:p w14:paraId="38AC2F28">
      <w:pPr>
        <w:spacing w:line="360" w:lineRule="auto"/>
        <w:ind w:right="82" w:rightChars="39"/>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6.乙方保证严格遵守甲方的采购程序等相关规定，保证不会将协议及其中的权利、义务转让，保证不会转包、分包，否则甲方有权解除本协议并上报上级采购监管部门。</w:t>
      </w:r>
    </w:p>
    <w:p w14:paraId="66929E8D">
      <w:pPr>
        <w:spacing w:line="360" w:lineRule="auto"/>
        <w:ind w:right="82" w:rightChars="39"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7接受甲方、甲方主管部门和其他有关部门的监督管理，履行法律、法规、规章之规定，确保招标项目合法、合规，并承担全部责任。 </w:t>
      </w:r>
      <w:bookmarkStart w:id="16" w:name="_Toc229468721"/>
    </w:p>
    <w:p w14:paraId="0955CD50">
      <w:pPr>
        <w:spacing w:line="360" w:lineRule="auto"/>
        <w:ind w:right="82" w:rightChars="39" w:firstLine="480" w:firstLineChars="200"/>
        <w:rPr>
          <w:rFonts w:ascii="仿宋" w:eastAsia="仿宋" w:cs="宋体"/>
          <w:color w:val="auto"/>
          <w:sz w:val="24"/>
          <w:szCs w:val="24"/>
          <w:highlight w:val="none"/>
        </w:rPr>
      </w:pPr>
      <w:r>
        <w:rPr>
          <w:rFonts w:hint="eastAsia" w:ascii="仿宋" w:eastAsia="仿宋" w:cs="宋体"/>
          <w:color w:val="auto"/>
          <w:sz w:val="24"/>
          <w:szCs w:val="24"/>
          <w:highlight w:val="none"/>
        </w:rPr>
        <w:t>三、违约处理</w:t>
      </w:r>
      <w:bookmarkEnd w:id="16"/>
    </w:p>
    <w:p w14:paraId="5B568A18">
      <w:pPr>
        <w:tabs>
          <w:tab w:val="left" w:pos="630"/>
        </w:tabs>
        <w:snapToGrid w:val="0"/>
        <w:spacing w:line="360" w:lineRule="auto"/>
        <w:ind w:firstLine="477" w:firstLineChars="199"/>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乙方不履行或逾期履行本协议规定的义务，甲方有权视情节予以催告、督促履行、停付或拒付价款，暂停其招标采购代理资格或解除本协议，同时有权要求乙方支付违约金或赔偿甲方因乙方违约行为造成的实际经济损失。</w:t>
      </w:r>
    </w:p>
    <w:p w14:paraId="344C87B7">
      <w:pPr>
        <w:tabs>
          <w:tab w:val="left" w:pos="630"/>
        </w:tabs>
        <w:snapToGrid w:val="0"/>
        <w:spacing w:line="360" w:lineRule="auto"/>
        <w:ind w:firstLine="477" w:firstLineChars="199"/>
        <w:rPr>
          <w:rFonts w:ascii="仿宋" w:hAnsi="仿宋" w:eastAsia="仿宋" w:cs="宋体"/>
          <w:color w:val="auto"/>
          <w:sz w:val="24"/>
          <w:szCs w:val="24"/>
          <w:highlight w:val="none"/>
        </w:rPr>
      </w:pPr>
    </w:p>
    <w:p w14:paraId="43EE7DEF">
      <w:pPr>
        <w:tabs>
          <w:tab w:val="left" w:pos="630"/>
        </w:tabs>
        <w:snapToGrid w:val="0"/>
        <w:spacing w:line="360" w:lineRule="auto"/>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四、双方共同责任</w:t>
      </w:r>
    </w:p>
    <w:p w14:paraId="118715F9">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1.在招标采购活动进行过程中和招标采购活动完成后，甲乙双方均有责任对应当保密的事项保密。</w:t>
      </w:r>
    </w:p>
    <w:p w14:paraId="58232068">
      <w:pPr>
        <w:tabs>
          <w:tab w:val="left" w:pos="630"/>
        </w:tabs>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2.非甲乙双方原因造成招标采购项目失败的，甲乙方双方有责任共同继续完成本次招标采购项目。</w:t>
      </w:r>
    </w:p>
    <w:p w14:paraId="2D4FE20F">
      <w:pPr>
        <w:tabs>
          <w:tab w:val="left" w:pos="630"/>
        </w:tabs>
        <w:snapToGrid w:val="0"/>
        <w:spacing w:line="360" w:lineRule="auto"/>
        <w:rPr>
          <w:rFonts w:ascii="仿宋" w:hAnsi="仿宋" w:eastAsia="仿宋" w:cs="宋体"/>
          <w:color w:val="auto"/>
          <w:sz w:val="24"/>
          <w:szCs w:val="24"/>
          <w:highlight w:val="none"/>
        </w:rPr>
      </w:pPr>
    </w:p>
    <w:p w14:paraId="66A65B37">
      <w:pPr>
        <w:pStyle w:val="2"/>
        <w:numPr>
          <w:ilvl w:val="0"/>
          <w:numId w:val="0"/>
        </w:numPr>
        <w:snapToGrid w:val="0"/>
        <w:ind w:leftChars="0"/>
        <w:rPr>
          <w:rFonts w:ascii="仿宋" w:eastAsia="仿宋" w:cs="宋体"/>
          <w:color w:val="auto"/>
          <w:sz w:val="24"/>
          <w:szCs w:val="24"/>
          <w:highlight w:val="none"/>
        </w:rPr>
      </w:pPr>
      <w:bookmarkStart w:id="17" w:name="_Toc229468722"/>
      <w:r>
        <w:rPr>
          <w:rFonts w:hint="eastAsia" w:ascii="仿宋" w:eastAsia="仿宋" w:cs="宋体"/>
          <w:color w:val="auto"/>
          <w:sz w:val="24"/>
          <w:szCs w:val="24"/>
          <w:highlight w:val="none"/>
        </w:rPr>
        <w:t>五、合同价款</w:t>
      </w:r>
    </w:p>
    <w:p w14:paraId="04162D1B">
      <w:pPr>
        <w:tabs>
          <w:tab w:val="left" w:pos="630"/>
        </w:tabs>
        <w:snapToGrid w:val="0"/>
        <w:spacing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1、委托招标代理服务费：按计价格[2002]1980号文件的收费标准</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%计取。</w:t>
      </w:r>
    </w:p>
    <w:p w14:paraId="0D2B8245">
      <w:pPr>
        <w:snapToGrid w:val="0"/>
        <w:spacing w:line="360" w:lineRule="auto"/>
        <w:ind w:firstLine="482"/>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lang w:val="en-US" w:eastAsia="zh-CN"/>
        </w:rPr>
        <w:t>造价咨询</w:t>
      </w:r>
      <w:r>
        <w:rPr>
          <w:rFonts w:hint="eastAsia" w:ascii="仿宋" w:hAnsi="仿宋" w:eastAsia="仿宋" w:cs="宋体"/>
          <w:color w:val="auto"/>
          <w:sz w:val="24"/>
          <w:szCs w:val="24"/>
          <w:highlight w:val="none"/>
        </w:rPr>
        <w:t>服务费</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按</w:t>
      </w:r>
      <w:r>
        <w:rPr>
          <w:rFonts w:hint="eastAsia" w:ascii="仿宋" w:hAnsi="仿宋" w:eastAsia="仿宋" w:cs="宋体"/>
          <w:bCs/>
          <w:color w:val="auto"/>
          <w:sz w:val="24"/>
          <w:szCs w:val="24"/>
          <w:highlight w:val="none"/>
        </w:rPr>
        <w:t>浙价服〔2009〕84号</w:t>
      </w:r>
      <w:r>
        <w:rPr>
          <w:rFonts w:hint="eastAsia" w:ascii="仿宋" w:hAnsi="仿宋" w:eastAsia="仿宋" w:cs="宋体"/>
          <w:color w:val="auto"/>
          <w:sz w:val="24"/>
          <w:szCs w:val="24"/>
          <w:highlight w:val="none"/>
        </w:rPr>
        <w:t>文件的收费标准</w:t>
      </w:r>
      <w:r>
        <w:rPr>
          <w:rFonts w:hint="eastAsia" w:ascii="仿宋" w:hAnsi="仿宋" w:eastAsia="仿宋" w:cs="宋体"/>
          <w:b/>
          <w:color w:val="auto"/>
          <w:sz w:val="24"/>
          <w:szCs w:val="24"/>
          <w:highlight w:val="none"/>
          <w:u w:val="single"/>
        </w:rPr>
        <w:t xml:space="preserve">       </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lang w:val="en-US" w:eastAsia="zh-CN"/>
        </w:rPr>
        <w:t>计取</w:t>
      </w:r>
      <w:r>
        <w:rPr>
          <w:rFonts w:hint="eastAsia" w:ascii="仿宋" w:hAnsi="仿宋" w:eastAsia="仿宋" w:cs="宋体"/>
          <w:b/>
          <w:color w:val="auto"/>
          <w:sz w:val="24"/>
          <w:szCs w:val="24"/>
          <w:highlight w:val="none"/>
        </w:rPr>
        <w:t>。</w:t>
      </w:r>
    </w:p>
    <w:p w14:paraId="7A05377B">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3、专家评审费，由【乙方】支付。</w:t>
      </w:r>
    </w:p>
    <w:p w14:paraId="34C45DDA">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4、开标评标服务费，由【乙方】支付。</w:t>
      </w:r>
    </w:p>
    <w:p w14:paraId="29DC7BDE">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5、招标文件及相关资料成本费，由【乙方】收取。</w:t>
      </w:r>
    </w:p>
    <w:p w14:paraId="250A1C0A">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6、若在报纸上刊登招标公告的，其报纸公告刊登费由【甲方】支付。</w:t>
      </w:r>
    </w:p>
    <w:p w14:paraId="16D81DFD">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7、其它：投标保证金由【乙方】收取保管。</w:t>
      </w:r>
    </w:p>
    <w:p w14:paraId="08924620">
      <w:pPr>
        <w:tabs>
          <w:tab w:val="left" w:pos="630"/>
        </w:tabs>
        <w:snapToGrid w:val="0"/>
        <w:spacing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8、招标代理服务费待每个标段招标工作完成，并提交代理报告经【甲方】认可后，与中标单位结清。</w:t>
      </w:r>
    </w:p>
    <w:p w14:paraId="71F94DBD">
      <w:pPr>
        <w:tabs>
          <w:tab w:val="left" w:pos="630"/>
        </w:tabs>
        <w:snapToGrid w:val="0"/>
        <w:spacing w:line="360" w:lineRule="auto"/>
        <w:rPr>
          <w:rFonts w:hint="eastAsia" w:ascii="仿宋" w:eastAsia="仿宋" w:cs="宋体"/>
          <w:color w:val="auto"/>
          <w:sz w:val="24"/>
          <w:szCs w:val="24"/>
          <w:highlight w:val="none"/>
          <w:lang w:eastAsia="zh-CN"/>
        </w:rPr>
      </w:pPr>
      <w:r>
        <w:rPr>
          <w:rFonts w:hint="eastAsia" w:ascii="仿宋" w:eastAsia="仿宋" w:cs="宋体"/>
          <w:color w:val="auto"/>
          <w:sz w:val="24"/>
          <w:szCs w:val="24"/>
          <w:highlight w:val="none"/>
        </w:rPr>
        <w:t>六、</w:t>
      </w:r>
      <w:r>
        <w:rPr>
          <w:rFonts w:hint="eastAsia" w:ascii="仿宋" w:eastAsia="仿宋" w:cs="宋体"/>
          <w:color w:val="auto"/>
          <w:sz w:val="24"/>
          <w:szCs w:val="24"/>
          <w:highlight w:val="none"/>
          <w:lang w:eastAsia="zh-CN"/>
        </w:rPr>
        <w:t>服务期限</w:t>
      </w:r>
    </w:p>
    <w:p w14:paraId="17DB28C8">
      <w:pPr>
        <w:pStyle w:val="2"/>
        <w:numPr>
          <w:ilvl w:val="0"/>
          <w:numId w:val="0"/>
        </w:numPr>
        <w:snapToGrid w:val="0"/>
        <w:ind w:leftChars="0" w:firstLine="482" w:firstLineChars="200"/>
        <w:rPr>
          <w:rFonts w:hint="eastAsia"/>
          <w:color w:val="auto"/>
          <w:highlight w:val="none"/>
          <w:lang w:val="en-US" w:eastAsia="zh-CN"/>
        </w:rPr>
      </w:pPr>
      <w:r>
        <w:rPr>
          <w:rFonts w:hint="eastAsia" w:ascii="宋体" w:hAnsi="宋体" w:cs="Arial"/>
          <w:bCs/>
          <w:color w:val="auto"/>
          <w:sz w:val="24"/>
          <w:highlight w:val="none"/>
        </w:rPr>
        <w:t>本合同有效期</w:t>
      </w:r>
      <w:r>
        <w:rPr>
          <w:rFonts w:hint="eastAsia" w:ascii="宋体" w:hAnsi="宋体" w:cs="Arial"/>
          <w:bCs/>
          <w:color w:val="auto"/>
          <w:sz w:val="24"/>
          <w:highlight w:val="none"/>
          <w:lang w:eastAsia="zh-CN"/>
        </w:rPr>
        <w:t>两</w:t>
      </w:r>
      <w:r>
        <w:rPr>
          <w:rFonts w:hint="eastAsia" w:ascii="宋体" w:hAnsi="宋体" w:cs="Arial"/>
          <w:bCs/>
          <w:color w:val="auto"/>
          <w:sz w:val="24"/>
          <w:highlight w:val="none"/>
        </w:rPr>
        <w:t>年，</w:t>
      </w:r>
      <w:r>
        <w:rPr>
          <w:rFonts w:hint="eastAsia" w:ascii="仿宋" w:eastAsia="仿宋" w:cs="宋体"/>
          <w:b w:val="0"/>
          <w:bCs w:val="0"/>
          <w:color w:val="auto"/>
          <w:kern w:val="2"/>
          <w:sz w:val="24"/>
          <w:szCs w:val="24"/>
          <w:highlight w:val="none"/>
          <w:lang w:val="en-US" w:eastAsia="zh-CN" w:bidi="ar-SA"/>
        </w:rPr>
        <w:t>自</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 xml:space="preserve"> 年</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月</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日起至</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 xml:space="preserve"> 年</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月</w:t>
      </w:r>
      <w:r>
        <w:rPr>
          <w:rFonts w:hint="eastAsia" w:ascii="仿宋" w:eastAsia="仿宋" w:cs="宋体"/>
          <w:b w:val="0"/>
          <w:bCs w:val="0"/>
          <w:color w:val="auto"/>
          <w:kern w:val="2"/>
          <w:sz w:val="24"/>
          <w:szCs w:val="24"/>
          <w:highlight w:val="none"/>
          <w:u w:val="single"/>
          <w:lang w:val="en-US" w:eastAsia="zh-CN" w:bidi="ar-SA"/>
        </w:rPr>
        <w:t xml:space="preserve">     </w:t>
      </w:r>
      <w:r>
        <w:rPr>
          <w:rFonts w:hint="eastAsia" w:ascii="仿宋" w:eastAsia="仿宋" w:cs="宋体"/>
          <w:b w:val="0"/>
          <w:bCs w:val="0"/>
          <w:color w:val="auto"/>
          <w:kern w:val="2"/>
          <w:sz w:val="24"/>
          <w:szCs w:val="24"/>
          <w:highlight w:val="none"/>
          <w:u w:val="none"/>
          <w:lang w:val="en-US" w:eastAsia="zh-CN" w:bidi="ar-SA"/>
        </w:rPr>
        <w:t>日止。</w:t>
      </w:r>
      <w:r>
        <w:rPr>
          <w:rFonts w:hint="eastAsia" w:ascii="仿宋" w:hAnsi="仿宋" w:eastAsia="仿宋" w:cs="宋体"/>
          <w:bCs/>
          <w:color w:val="auto"/>
          <w:sz w:val="24"/>
          <w:szCs w:val="24"/>
          <w:highlight w:val="none"/>
          <w:lang w:eastAsia="zh-CN"/>
        </w:rPr>
        <w:t>服务期限满一年度，由甲方进行考核，考核</w:t>
      </w:r>
      <w:r>
        <w:rPr>
          <w:rFonts w:hint="eastAsia" w:ascii="仿宋" w:hAnsi="仿宋" w:eastAsia="仿宋" w:cs="宋体"/>
          <w:bCs/>
          <w:color w:val="auto"/>
          <w:sz w:val="24"/>
          <w:szCs w:val="24"/>
          <w:highlight w:val="none"/>
          <w:lang w:val="en-US" w:eastAsia="zh-CN"/>
        </w:rPr>
        <w:t>85分及以上为合格，若不合格甲方有权中断合同。</w:t>
      </w:r>
      <w:r>
        <w:rPr>
          <w:rFonts w:hint="eastAsia" w:ascii="仿宋" w:eastAsia="仿宋" w:cs="宋体"/>
          <w:bCs/>
          <w:color w:val="auto"/>
          <w:sz w:val="24"/>
          <w:szCs w:val="24"/>
          <w:highlight w:val="none"/>
          <w:lang w:val="en-US" w:eastAsia="zh-CN"/>
        </w:rPr>
        <w:t>（考核条款详见附件）</w:t>
      </w:r>
    </w:p>
    <w:p w14:paraId="72DD4F45">
      <w:pPr>
        <w:pStyle w:val="2"/>
        <w:numPr>
          <w:ilvl w:val="0"/>
          <w:numId w:val="0"/>
        </w:numPr>
        <w:snapToGrid w:val="0"/>
        <w:ind w:leftChars="0"/>
        <w:rPr>
          <w:rFonts w:ascii="仿宋" w:eastAsia="仿宋" w:cs="宋体"/>
          <w:color w:val="auto"/>
          <w:sz w:val="24"/>
          <w:szCs w:val="24"/>
          <w:highlight w:val="none"/>
        </w:rPr>
      </w:pPr>
      <w:r>
        <w:rPr>
          <w:rFonts w:hint="eastAsia" w:ascii="仿宋" w:eastAsia="仿宋" w:cs="宋体"/>
          <w:color w:val="auto"/>
          <w:sz w:val="24"/>
          <w:szCs w:val="24"/>
          <w:highlight w:val="none"/>
          <w:lang w:val="en-US" w:eastAsia="zh-CN"/>
        </w:rPr>
        <w:t>七、合同</w:t>
      </w:r>
      <w:r>
        <w:rPr>
          <w:rFonts w:hint="eastAsia" w:ascii="仿宋" w:eastAsia="仿宋" w:cs="宋体"/>
          <w:color w:val="auto"/>
          <w:sz w:val="24"/>
          <w:szCs w:val="24"/>
          <w:highlight w:val="none"/>
        </w:rPr>
        <w:t>组成部分</w:t>
      </w:r>
      <w:bookmarkEnd w:id="17"/>
    </w:p>
    <w:p w14:paraId="72861CAB">
      <w:pPr>
        <w:tabs>
          <w:tab w:val="left" w:pos="630"/>
        </w:tabs>
        <w:snapToGrid w:val="0"/>
        <w:spacing w:line="360" w:lineRule="auto"/>
        <w:ind w:left="120" w:hanging="120" w:hangingChars="5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1、本</w:t>
      </w:r>
      <w:r>
        <w:rPr>
          <w:rFonts w:hint="eastAsia" w:ascii="仿宋" w:hAnsi="仿宋" w:eastAsia="仿宋" w:cs="宋体"/>
          <w:color w:val="auto"/>
          <w:sz w:val="24"/>
          <w:szCs w:val="24"/>
          <w:highlight w:val="none"/>
          <w:lang w:eastAsia="zh-CN"/>
        </w:rPr>
        <w:t>合同</w:t>
      </w:r>
    </w:p>
    <w:p w14:paraId="10D9FC3B">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2、中标通知书</w:t>
      </w:r>
    </w:p>
    <w:p w14:paraId="3880011C">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3、投标文件</w:t>
      </w:r>
    </w:p>
    <w:p w14:paraId="0C717DEC">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4、招标文件(含招标文件补充通知)</w:t>
      </w:r>
    </w:p>
    <w:p w14:paraId="0F2A3985">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5、其它补充协议</w:t>
      </w:r>
    </w:p>
    <w:p w14:paraId="589D5B3D">
      <w:pPr>
        <w:pStyle w:val="2"/>
        <w:numPr>
          <w:ilvl w:val="0"/>
          <w:numId w:val="0"/>
        </w:numPr>
        <w:snapToGrid w:val="0"/>
        <w:ind w:leftChars="0"/>
        <w:rPr>
          <w:rFonts w:ascii="仿宋" w:eastAsia="仿宋" w:cs="宋体"/>
          <w:color w:val="auto"/>
          <w:sz w:val="24"/>
          <w:szCs w:val="24"/>
          <w:highlight w:val="none"/>
        </w:rPr>
      </w:pPr>
      <w:bookmarkStart w:id="18" w:name="_Toc229468723"/>
      <w:r>
        <w:rPr>
          <w:rFonts w:hint="eastAsia" w:ascii="仿宋" w:eastAsia="仿宋" w:cs="宋体"/>
          <w:color w:val="auto"/>
          <w:sz w:val="24"/>
          <w:szCs w:val="24"/>
          <w:highlight w:val="none"/>
          <w:lang w:val="en-US" w:eastAsia="zh-CN"/>
        </w:rPr>
        <w:t>八、合同</w:t>
      </w:r>
      <w:r>
        <w:rPr>
          <w:rFonts w:hint="eastAsia" w:ascii="仿宋" w:eastAsia="仿宋" w:cs="宋体"/>
          <w:color w:val="auto"/>
          <w:sz w:val="24"/>
          <w:szCs w:val="24"/>
          <w:highlight w:val="none"/>
        </w:rPr>
        <w:t>生效及其它</w:t>
      </w:r>
      <w:bookmarkEnd w:id="18"/>
    </w:p>
    <w:p w14:paraId="49E2C3DF">
      <w:pPr>
        <w:tabs>
          <w:tab w:val="left" w:pos="0"/>
        </w:tabs>
        <w:wordWrap w:val="0"/>
        <w:snapToGrid w:val="0"/>
        <w:spacing w:line="360"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1、本协议自双方签字盖章之日起生效</w:t>
      </w:r>
      <w:r>
        <w:rPr>
          <w:rFonts w:hint="eastAsia" w:ascii="仿宋" w:hAnsi="仿宋" w:eastAsia="仿宋" w:cs="宋体"/>
          <w:color w:val="auto"/>
          <w:sz w:val="24"/>
          <w:szCs w:val="24"/>
          <w:highlight w:val="none"/>
          <w:lang w:eastAsia="zh-CN"/>
        </w:rPr>
        <w:t>。</w:t>
      </w:r>
    </w:p>
    <w:p w14:paraId="6FDDBBC7">
      <w:pPr>
        <w:snapToGrid w:val="0"/>
        <w:spacing w:line="360"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2、本</w:t>
      </w:r>
      <w:r>
        <w:rPr>
          <w:rFonts w:hint="eastAsia" w:ascii="仿宋" w:hAnsi="仿宋" w:eastAsia="仿宋" w:cs="宋体"/>
          <w:color w:val="auto"/>
          <w:sz w:val="24"/>
          <w:szCs w:val="24"/>
          <w:highlight w:val="none"/>
          <w:lang w:eastAsia="zh-CN"/>
        </w:rPr>
        <w:t>合同</w:t>
      </w:r>
      <w:r>
        <w:rPr>
          <w:rFonts w:hint="eastAsia" w:ascii="仿宋" w:hAnsi="仿宋" w:eastAsia="仿宋" w:cs="宋体"/>
          <w:color w:val="auto"/>
          <w:sz w:val="24"/>
          <w:szCs w:val="24"/>
          <w:highlight w:val="none"/>
        </w:rPr>
        <w:t>一式4份</w:t>
      </w:r>
      <w:r>
        <w:rPr>
          <w:rFonts w:hint="eastAsia" w:ascii="仿宋" w:hAnsi="仿宋" w:eastAsia="仿宋" w:cs="宋体"/>
          <w:color w:val="auto"/>
          <w:sz w:val="24"/>
          <w:szCs w:val="24"/>
          <w:highlight w:val="none"/>
          <w:lang w:eastAsia="zh-CN"/>
        </w:rPr>
        <w:t>，甲乙双方各执贰份，均具有同等效力。</w:t>
      </w:r>
    </w:p>
    <w:p w14:paraId="4892FE8D">
      <w:pPr>
        <w:tabs>
          <w:tab w:val="left" w:pos="420"/>
        </w:tabs>
        <w:snapToGrid w:val="0"/>
        <w:spacing w:line="360"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3、本协议未尽事宜，甲乙双方应通过友好协商解决</w:t>
      </w:r>
      <w:r>
        <w:rPr>
          <w:rFonts w:hint="eastAsia" w:ascii="仿宋" w:hAnsi="仿宋" w:eastAsia="仿宋" w:cs="宋体"/>
          <w:color w:val="auto"/>
          <w:sz w:val="24"/>
          <w:szCs w:val="24"/>
          <w:highlight w:val="none"/>
          <w:lang w:eastAsia="zh-CN"/>
        </w:rPr>
        <w:t>。</w:t>
      </w:r>
    </w:p>
    <w:p w14:paraId="3FD6A0C4">
      <w:pPr>
        <w:pStyle w:val="2"/>
        <w:numPr>
          <w:ilvl w:val="0"/>
          <w:numId w:val="0"/>
        </w:numPr>
        <w:snapToGrid w:val="0"/>
        <w:ind w:leftChars="0"/>
        <w:rPr>
          <w:rFonts w:ascii="仿宋" w:eastAsia="仿宋" w:cs="宋体"/>
          <w:color w:val="auto"/>
          <w:sz w:val="24"/>
          <w:szCs w:val="24"/>
          <w:highlight w:val="none"/>
        </w:rPr>
      </w:pPr>
      <w:bookmarkStart w:id="19" w:name="_Toc229468724"/>
      <w:r>
        <w:rPr>
          <w:rFonts w:hint="eastAsia" w:ascii="仿宋" w:eastAsia="仿宋" w:cs="宋体"/>
          <w:color w:val="auto"/>
          <w:sz w:val="24"/>
          <w:szCs w:val="24"/>
          <w:highlight w:val="none"/>
          <w:lang w:eastAsia="zh-CN"/>
        </w:rPr>
        <w:t>九</w:t>
      </w:r>
      <w:r>
        <w:rPr>
          <w:rFonts w:hint="eastAsia" w:ascii="仿宋" w:eastAsia="仿宋" w:cs="宋体"/>
          <w:color w:val="auto"/>
          <w:sz w:val="24"/>
          <w:szCs w:val="24"/>
          <w:highlight w:val="none"/>
        </w:rPr>
        <w:t>、纠纷解决方式</w:t>
      </w:r>
      <w:bookmarkEnd w:id="19"/>
    </w:p>
    <w:p w14:paraId="57427145">
      <w:pPr>
        <w:tabs>
          <w:tab w:val="left" w:pos="420"/>
        </w:tabs>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履行本协议发生的纠纷，由双方友好协商解决；协商不成，由甲方所在地人民法院诉讼解决。</w:t>
      </w:r>
    </w:p>
    <w:p w14:paraId="4580FC03">
      <w:pPr>
        <w:tabs>
          <w:tab w:val="left" w:pos="630"/>
          <w:tab w:val="left" w:pos="525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甲方（盖章）：                       乙方（盖章）： </w:t>
      </w:r>
    </w:p>
    <w:p w14:paraId="79C371F1">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甲方代表（签字）：                   乙方代表（签字）：</w:t>
      </w:r>
    </w:p>
    <w:p w14:paraId="08C9F297">
      <w:pPr>
        <w:tabs>
          <w:tab w:val="left" w:pos="630"/>
          <w:tab w:val="left" w:pos="5040"/>
          <w:tab w:val="left" w:pos="5355"/>
        </w:tabs>
        <w:snapToGrid w:val="0"/>
        <w:spacing w:line="360" w:lineRule="auto"/>
        <w:ind w:left="4200" w:hanging="4200" w:hangingChars="17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地址：                              地址： </w:t>
      </w:r>
    </w:p>
    <w:p w14:paraId="79BA358E">
      <w:pPr>
        <w:tabs>
          <w:tab w:val="left" w:pos="630"/>
        </w:tabs>
        <w:snapToGrid w:val="0"/>
        <w:spacing w:line="360" w:lineRule="auto"/>
        <w:ind w:left="120" w:hanging="120" w:hangingChars="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电话：                              电话：    </w:t>
      </w:r>
    </w:p>
    <w:p w14:paraId="5614A18E">
      <w:pPr>
        <w:snapToGrid w:val="0"/>
        <w:spacing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签订时间：20</w:t>
      </w:r>
      <w:r>
        <w:rPr>
          <w:rFonts w:hint="eastAsia" w:ascii="仿宋" w:hAnsi="仿宋" w:eastAsia="仿宋" w:cs="宋体"/>
          <w:color w:val="auto"/>
          <w:sz w:val="24"/>
          <w:szCs w:val="24"/>
          <w:highlight w:val="none"/>
          <w:lang w:val="en-US" w:eastAsia="zh-CN"/>
        </w:rPr>
        <w:t>25</w:t>
      </w:r>
      <w:r>
        <w:rPr>
          <w:rFonts w:hint="eastAsia" w:ascii="仿宋" w:hAnsi="仿宋" w:eastAsia="仿宋" w:cs="宋体"/>
          <w:color w:val="auto"/>
          <w:sz w:val="24"/>
          <w:szCs w:val="24"/>
          <w:highlight w:val="none"/>
        </w:rPr>
        <w:t xml:space="preserve">年      月       日       </w:t>
      </w:r>
    </w:p>
    <w:p w14:paraId="3F1341D4">
      <w:pPr>
        <w:ind w:firstLine="482" w:firstLineChars="200"/>
        <w:jc w:val="left"/>
        <w:rPr>
          <w:rFonts w:hint="eastAsia" w:ascii="仿宋_GB2312" w:hAnsi="宋体" w:eastAsia="仿宋_GB2312"/>
          <w:b/>
          <w:color w:val="auto"/>
          <w:sz w:val="24"/>
          <w:highlight w:val="none"/>
        </w:rPr>
      </w:pPr>
    </w:p>
    <w:p w14:paraId="238B8473">
      <w:pPr>
        <w:ind w:firstLine="482" w:firstLineChars="200"/>
        <w:jc w:val="left"/>
        <w:rPr>
          <w:rFonts w:hint="eastAsia" w:ascii="仿宋_GB2312" w:hAnsi="宋体" w:eastAsia="仿宋_GB2312"/>
          <w:b/>
          <w:color w:val="auto"/>
          <w:sz w:val="24"/>
          <w:highlight w:val="none"/>
        </w:rPr>
      </w:pPr>
    </w:p>
    <w:p w14:paraId="29239ACD">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14:paraId="0DF3B2BD">
      <w:pPr>
        <w:ind w:firstLine="482" w:firstLineChars="200"/>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附件一</w:t>
      </w:r>
    </w:p>
    <w:p w14:paraId="4E71AC85">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招标代理服务考核表</w:t>
      </w:r>
    </w:p>
    <w:tbl>
      <w:tblPr>
        <w:tblStyle w:val="12"/>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833"/>
        <w:gridCol w:w="1884"/>
        <w:gridCol w:w="1683"/>
      </w:tblGrid>
      <w:tr w14:paraId="7171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3CBC81BA">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4833" w:type="dxa"/>
          </w:tcPr>
          <w:p w14:paraId="51E397A7">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考核内容</w:t>
            </w:r>
          </w:p>
        </w:tc>
        <w:tc>
          <w:tcPr>
            <w:tcW w:w="1884" w:type="dxa"/>
          </w:tcPr>
          <w:p w14:paraId="21F01AE5">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分值</w:t>
            </w:r>
          </w:p>
        </w:tc>
        <w:tc>
          <w:tcPr>
            <w:tcW w:w="1683" w:type="dxa"/>
          </w:tcPr>
          <w:p w14:paraId="3E844A4C">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打分</w:t>
            </w:r>
          </w:p>
        </w:tc>
      </w:tr>
      <w:tr w14:paraId="3498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2CF33B81">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1</w:t>
            </w:r>
          </w:p>
        </w:tc>
        <w:tc>
          <w:tcPr>
            <w:tcW w:w="4833" w:type="dxa"/>
          </w:tcPr>
          <w:p w14:paraId="2E41801F">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招标文件撰写规范和专业性</w:t>
            </w:r>
          </w:p>
        </w:tc>
        <w:tc>
          <w:tcPr>
            <w:tcW w:w="1884" w:type="dxa"/>
          </w:tcPr>
          <w:p w14:paraId="3A7A9F02">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0</w:t>
            </w:r>
          </w:p>
        </w:tc>
        <w:tc>
          <w:tcPr>
            <w:tcW w:w="1683" w:type="dxa"/>
          </w:tcPr>
          <w:p w14:paraId="4851235C">
            <w:pPr>
              <w:jc w:val="center"/>
              <w:rPr>
                <w:rFonts w:ascii="仿宋_GB2312" w:hAnsi="宋体" w:eastAsia="仿宋_GB2312"/>
                <w:b/>
                <w:color w:val="auto"/>
                <w:sz w:val="24"/>
                <w:highlight w:val="none"/>
              </w:rPr>
            </w:pPr>
          </w:p>
        </w:tc>
      </w:tr>
      <w:tr w14:paraId="3542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080A29C8">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2</w:t>
            </w:r>
          </w:p>
        </w:tc>
        <w:tc>
          <w:tcPr>
            <w:tcW w:w="4833" w:type="dxa"/>
          </w:tcPr>
          <w:p w14:paraId="42DD2C26">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招标及中标公告内容完整性、及时性</w:t>
            </w:r>
          </w:p>
        </w:tc>
        <w:tc>
          <w:tcPr>
            <w:tcW w:w="1884" w:type="dxa"/>
          </w:tcPr>
          <w:p w14:paraId="1C4424F1">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10</w:t>
            </w:r>
          </w:p>
        </w:tc>
        <w:tc>
          <w:tcPr>
            <w:tcW w:w="1683" w:type="dxa"/>
          </w:tcPr>
          <w:p w14:paraId="595E5D54">
            <w:pPr>
              <w:jc w:val="center"/>
              <w:rPr>
                <w:rFonts w:ascii="仿宋_GB2312" w:hAnsi="宋体" w:eastAsia="仿宋_GB2312"/>
                <w:b/>
                <w:color w:val="auto"/>
                <w:sz w:val="24"/>
                <w:highlight w:val="none"/>
              </w:rPr>
            </w:pPr>
          </w:p>
        </w:tc>
      </w:tr>
      <w:tr w14:paraId="0D88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26D7DE69">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3</w:t>
            </w:r>
          </w:p>
        </w:tc>
        <w:tc>
          <w:tcPr>
            <w:tcW w:w="4833" w:type="dxa"/>
          </w:tcPr>
          <w:p w14:paraId="4468918F">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招标代理活动各环节的规范性和专业性</w:t>
            </w:r>
          </w:p>
        </w:tc>
        <w:tc>
          <w:tcPr>
            <w:tcW w:w="1884" w:type="dxa"/>
          </w:tcPr>
          <w:p w14:paraId="3CD323BF">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2</w:t>
            </w:r>
            <w:r>
              <w:rPr>
                <w:rFonts w:hint="eastAsia" w:ascii="仿宋_GB2312" w:hAnsi="宋体" w:eastAsia="仿宋_GB2312"/>
                <w:b/>
                <w:color w:val="auto"/>
                <w:sz w:val="24"/>
                <w:highlight w:val="none"/>
              </w:rPr>
              <w:t>0</w:t>
            </w:r>
          </w:p>
        </w:tc>
        <w:tc>
          <w:tcPr>
            <w:tcW w:w="1683" w:type="dxa"/>
          </w:tcPr>
          <w:p w14:paraId="342B9E40">
            <w:pPr>
              <w:jc w:val="center"/>
              <w:rPr>
                <w:rFonts w:ascii="仿宋_GB2312" w:hAnsi="宋体" w:eastAsia="仿宋_GB2312"/>
                <w:b/>
                <w:color w:val="auto"/>
                <w:sz w:val="24"/>
                <w:highlight w:val="none"/>
              </w:rPr>
            </w:pPr>
          </w:p>
        </w:tc>
      </w:tr>
      <w:tr w14:paraId="3999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00E38CF2">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4</w:t>
            </w:r>
          </w:p>
        </w:tc>
        <w:tc>
          <w:tcPr>
            <w:tcW w:w="4833" w:type="dxa"/>
          </w:tcPr>
          <w:p w14:paraId="176B714C">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因招标代理原因引起的投诉量和影响</w:t>
            </w:r>
          </w:p>
        </w:tc>
        <w:tc>
          <w:tcPr>
            <w:tcW w:w="1884" w:type="dxa"/>
          </w:tcPr>
          <w:p w14:paraId="6C584E6E">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20</w:t>
            </w:r>
          </w:p>
        </w:tc>
        <w:tc>
          <w:tcPr>
            <w:tcW w:w="1683" w:type="dxa"/>
          </w:tcPr>
          <w:p w14:paraId="3C1F11A4">
            <w:pPr>
              <w:jc w:val="center"/>
              <w:rPr>
                <w:rFonts w:ascii="仿宋_GB2312" w:hAnsi="宋体" w:eastAsia="仿宋_GB2312"/>
                <w:b/>
                <w:color w:val="auto"/>
                <w:sz w:val="24"/>
                <w:highlight w:val="none"/>
              </w:rPr>
            </w:pPr>
          </w:p>
        </w:tc>
      </w:tr>
      <w:tr w14:paraId="494F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14:paraId="1DC1A9A3">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5</w:t>
            </w:r>
          </w:p>
        </w:tc>
        <w:tc>
          <w:tcPr>
            <w:tcW w:w="4833" w:type="dxa"/>
          </w:tcPr>
          <w:p w14:paraId="60D80413">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投诉处理妥善性</w:t>
            </w:r>
          </w:p>
        </w:tc>
        <w:tc>
          <w:tcPr>
            <w:tcW w:w="1884" w:type="dxa"/>
          </w:tcPr>
          <w:p w14:paraId="5931DB34">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lang w:val="en-US" w:eastAsia="zh-CN"/>
              </w:rPr>
              <w:t>2</w:t>
            </w:r>
            <w:r>
              <w:rPr>
                <w:rFonts w:hint="eastAsia" w:ascii="仿宋_GB2312" w:hAnsi="宋体" w:eastAsia="仿宋_GB2312"/>
                <w:b/>
                <w:color w:val="auto"/>
                <w:sz w:val="24"/>
                <w:highlight w:val="none"/>
              </w:rPr>
              <w:t>0</w:t>
            </w:r>
          </w:p>
        </w:tc>
        <w:tc>
          <w:tcPr>
            <w:tcW w:w="1683" w:type="dxa"/>
          </w:tcPr>
          <w:p w14:paraId="5FFEE3BF">
            <w:pPr>
              <w:jc w:val="center"/>
              <w:rPr>
                <w:rFonts w:ascii="仿宋_GB2312" w:hAnsi="宋体" w:eastAsia="仿宋_GB2312"/>
                <w:b/>
                <w:color w:val="auto"/>
                <w:sz w:val="24"/>
                <w:highlight w:val="none"/>
              </w:rPr>
            </w:pPr>
          </w:p>
        </w:tc>
      </w:tr>
    </w:tbl>
    <w:p w14:paraId="685260F2">
      <w:pPr>
        <w:snapToGrid w:val="0"/>
        <w:spacing w:line="360" w:lineRule="auto"/>
        <w:ind w:firstLine="480"/>
        <w:rPr>
          <w:rFonts w:hint="eastAsia" w:ascii="仿宋" w:hAnsi="仿宋" w:eastAsia="仿宋" w:cs="宋体"/>
          <w:color w:val="auto"/>
          <w:sz w:val="24"/>
          <w:szCs w:val="24"/>
          <w:highlight w:val="none"/>
        </w:rPr>
      </w:pPr>
    </w:p>
    <w:p w14:paraId="0F497FB7">
      <w:pPr>
        <w:rPr>
          <w:highlight w:val="none"/>
        </w:rPr>
      </w:pPr>
    </w:p>
    <w:bookmarkEnd w:id="20"/>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19D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8C32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A8C32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BFCC">
    <w:pPr>
      <w:pStyle w:val="8"/>
      <w:rPr>
        <w:u w:val="single"/>
      </w:rPr>
    </w:pPr>
  </w:p>
  <w:p w14:paraId="7CE81212">
    <w:pPr>
      <w:pStyle w:val="8"/>
      <w:rPr>
        <w:u w:val="single"/>
      </w:rPr>
    </w:pPr>
  </w:p>
  <w:p w14:paraId="69DCFE47">
    <w:pPr>
      <w:pStyle w:val="8"/>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8EF5D"/>
    <w:multiLevelType w:val="singleLevel"/>
    <w:tmpl w:val="94F8EF5D"/>
    <w:lvl w:ilvl="0" w:tentative="0">
      <w:start w:val="1"/>
      <w:numFmt w:val="chineseCounting"/>
      <w:suff w:val="nothing"/>
      <w:lvlText w:val="%1、"/>
      <w:lvlJc w:val="left"/>
      <w:rPr>
        <w:rFonts w:hint="eastAsia"/>
      </w:rPr>
    </w:lvl>
  </w:abstractNum>
  <w:abstractNum w:abstractNumId="1">
    <w:nsid w:val="C0FDF143"/>
    <w:multiLevelType w:val="singleLevel"/>
    <w:tmpl w:val="C0FDF1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148A1"/>
    <w:rsid w:val="08DA266F"/>
    <w:rsid w:val="192B4D49"/>
    <w:rsid w:val="3DF759CB"/>
    <w:rsid w:val="44D148A1"/>
    <w:rsid w:val="4FEE1F4D"/>
    <w:rsid w:val="501B3C78"/>
    <w:rsid w:val="5E12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Body Text Indent"/>
    <w:basedOn w:val="1"/>
    <w:next w:val="1"/>
    <w:qFormat/>
    <w:uiPriority w:val="0"/>
    <w:pPr>
      <w:spacing w:line="200" w:lineRule="atLeast"/>
      <w:ind w:firstLine="301"/>
    </w:pPr>
    <w:rPr>
      <w:rFonts w:ascii="宋体" w:hAnsi="Courier New"/>
      <w:spacing w:val="-4"/>
      <w:sz w:val="18"/>
    </w:rPr>
  </w:style>
  <w:style w:type="paragraph" w:styleId="5">
    <w:name w:val="Plain Text"/>
    <w:basedOn w:val="1"/>
    <w:next w:val="1"/>
    <w:qFormat/>
    <w:uiPriority w:val="0"/>
    <w:rPr>
      <w:rFonts w:ascii="宋体" w:hAnsi="Courier New" w:cstheme="minorBidi"/>
      <w:szCs w:val="22"/>
    </w:rPr>
  </w:style>
  <w:style w:type="paragraph" w:styleId="6">
    <w:name w:val="Body Text Indent 2"/>
    <w:basedOn w:val="1"/>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rPr>
      <w:rFonts w:ascii="Courier New" w:hAnsi="Courier New" w:cs="Courier New" w:eastAsiaTheme="minorEastAsia"/>
      <w:szCs w:val="22"/>
    </w:rPr>
  </w:style>
  <w:style w:type="paragraph" w:styleId="10">
    <w:name w:val="Body Text First Indent"/>
    <w:basedOn w:val="3"/>
    <w:qFormat/>
    <w:uiPriority w:val="0"/>
    <w:pPr>
      <w:ind w:firstLine="420" w:firstLineChars="1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8056</Words>
  <Characters>8720</Characters>
  <Lines>0</Lines>
  <Paragraphs>0</Paragraphs>
  <TotalTime>8</TotalTime>
  <ScaleCrop>false</ScaleCrop>
  <LinksUpToDate>false</LinksUpToDate>
  <CharactersWithSpaces>9843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2025-03-25T06:16:00Z</dcterms:created>
  <dc:creator>bigoofeet</dc:creator>
  <cp:lastModifiedBy>bigoofeet</cp:lastModifiedBy>
  <dcterms:modified xsi:type="dcterms:W3CDTF">2025-03-25T07:42:26Z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57F47B3D246B4C39B1EF6939E57CA36A_11</vt:lpwstr>
  </property>
  <property fmtid="{D5CDD505-2E9C-101B-9397-08002B2CF9AE}" pid="4" name="KSOTemplateDocerSaveRecord">
    <vt:lpwstr>eyJoZGlkIjoiMjM3YzJmYmQ2ZDZiODZhNDhlYjY5NTgxNDg0NWYzOTIiLCJ1c2VySWQiOiI2MTQ1NDE0MjgifQ==</vt:lpwstr>
  </property>
</Properties>
</file>